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Tehran</w:t>
      </w:r>
    </w:p>
    <w:p>
      <w:pPr>
        <w:pStyle w:val="FirstParagraph"/>
      </w:pPr>
      <w:r>
        <w:t xml:space="preserve">```html</w:t>
      </w:r>
    </w:p>
    <w:bookmarkStart w:id="32" w:name="Xe15eb9aceb49efe6cf6d39fab2627bc6546b7de"/>
    <w:p>
      <w:pPr>
        <w:pStyle w:val="Heading1"/>
      </w:pPr>
      <w:r>
        <w:t xml:space="preserve">The Architect of Influence:</w:t>
      </w:r>
      <w:r>
        <w:br/>
      </w:r>
      <w:r>
        <w:t xml:space="preserve">The Modern Diplomat in Iran, Tehran</w:t>
      </w:r>
    </w:p>
    <w:p>
      <w:pPr>
        <w:pStyle w:val="FirstParagraph"/>
      </w:pPr>
      <w:r>
        <w:t xml:space="preserve">Presented at the International Symposium on Middle Eastern Political Affairs</w:t>
      </w:r>
      <w:r>
        <w:br/>
      </w:r>
      <w:r>
        <w:t xml:space="preserve">By: [Author Name], Senior Analyst in Geopolitical Strategy</w:t>
      </w:r>
      <w:r>
        <w:br/>
      </w:r>
      <w:r>
        <w:t xml:space="preserve">Date: October 2023 | Location Context: Academic Exchange Initiative, Tehran</w:t>
      </w:r>
    </w:p>
    <w:bookmarkStart w:id="20" w:name="abstract"/>
    <w:p>
      <w:pPr>
        <w:pStyle w:val="Heading2"/>
      </w:pPr>
      <w:r>
        <w:t xml:space="preserve">Abstract</w:t>
      </w:r>
    </w:p>
    <w:p>
      <w:pPr>
        <w:pStyle w:val="FirstParagraph"/>
      </w:pPr>
      <w:r>
        <w:t xml:space="preserve">This poster presentation explores the multifaceted role of the modern diplomat operating within the complex geopolitical landscape of Iran, specifically focusing on the capital city, Tehran. As a hub where ancient traditions intersect with contemporary revolutionary ideology and global economic aspirations, Tehran presents unique challenges and opportunities for diplomatic engagement. This study analyzes how diplomats navigate sanctions regimes, cultural nuances, and regional security dynamics to foster dialogue.</w:t>
      </w:r>
    </w:p>
    <w:p>
      <w:pPr>
        <w:pStyle w:val="BodyText"/>
      </w:pPr>
      <w:r>
        <w:rPr>
          <w:bCs/>
          <w:b/>
        </w:rPr>
        <w:t xml:space="preserve">Key Objective:</w:t>
      </w:r>
      <w:r>
        <w:t xml:space="preserve"> </w:t>
      </w:r>
      <w:r>
        <w:t xml:space="preserve">To define the competencies required for effective statecraft in a high-stakes environment where every interaction in Tehran carries significant geopolitical weight.</w:t>
      </w:r>
    </w:p>
    <w:bookmarkEnd w:id="20"/>
    <w:bookmarkStart w:id="21" w:name="i.-introduction-the-context-of-tehran"/>
    <w:p>
      <w:pPr>
        <w:pStyle w:val="Heading2"/>
      </w:pPr>
      <w:r>
        <w:t xml:space="preserve">I. Introduction: The Context of Tehran</w:t>
      </w:r>
    </w:p>
    <w:p>
      <w:pPr>
        <w:pStyle w:val="FirstParagraph"/>
      </w:pPr>
      <w:r>
        <w:t xml:space="preserve">Tehran is not merely a city; it is the political, cultural, and administrative heart of Iran. For any diplomat assigned to this post, understanding the city's layered history—from its pre-revolutionary cosmopolitanism to its current status as a center of regional influence—is paramount. The role of the diplomat here transcends traditional protocol.</w:t>
      </w:r>
    </w:p>
    <w:p>
      <w:pPr>
        <w:pStyle w:val="BodyText"/>
      </w:pPr>
      <w:r>
        <w:t xml:space="preserve">In recent years, the diplomatic landscape in Tehran has been characterized by:</w:t>
      </w:r>
    </w:p>
    <w:p>
      <w:pPr>
        <w:numPr>
          <w:ilvl w:val="0"/>
          <w:numId w:val="1001"/>
        </w:numPr>
        <w:pStyle w:val="Compact"/>
      </w:pPr>
      <w:r>
        <w:rPr>
          <w:bCs/>
          <w:b/>
        </w:rPr>
        <w:t xml:space="preserve">Economic Pressure:</w:t>
      </w:r>
      <w:r>
        <w:t xml:space="preserve"> </w:t>
      </w:r>
      <w:r>
        <w:t xml:space="preserve">Navigating an environment heavily impacted by international sanctions.</w:t>
      </w:r>
    </w:p>
    <w:p>
      <w:pPr>
        <w:numPr>
          <w:ilvl w:val="0"/>
          <w:numId w:val="1001"/>
        </w:numPr>
        <w:pStyle w:val="Compact"/>
      </w:pPr>
      <w:r>
        <w:rPr>
          <w:bCs/>
          <w:b/>
        </w:rPr>
        <w:t xml:space="preserve">Digital Diplomacy:</w:t>
      </w:r>
      <w:r>
        <w:t xml:space="preserve"> </w:t>
      </w:r>
      <w:r>
        <w:t xml:space="preserve">The rise of social media as a tool for soft power and public opinion shaping within the Islamic Republic.</w:t>
      </w:r>
    </w:p>
    <w:p>
      <w:pPr>
        <w:numPr>
          <w:ilvl w:val="0"/>
          <w:numId w:val="1001"/>
        </w:numPr>
        <w:pStyle w:val="Compact"/>
      </w:pPr>
      <w:r>
        <w:rPr>
          <w:bCs/>
          <w:b/>
        </w:rPr>
        <w:t xml:space="preserve">Regional Proxy Dynamics:</w:t>
      </w:r>
      <w:r>
        <w:t xml:space="preserve"> </w:t>
      </w:r>
      <w:r>
        <w:t xml:space="preserve">Managing relations that extend beyond Tehran’s borders into Iraq, Syria, Yemen, and Lebanon.</w:t>
      </w:r>
    </w:p>
    <w:bookmarkEnd w:id="21"/>
    <w:bookmarkStart w:id="24" w:name="ii.-methodology-navigating-the-nuance"/>
    <w:p>
      <w:pPr>
        <w:pStyle w:val="Heading2"/>
      </w:pPr>
      <w:r>
        <w:t xml:space="preserve">II. Methodology: Navigating the Nuance</w:t>
      </w:r>
    </w:p>
    <w:p>
      <w:pPr>
        <w:pStyle w:val="FirstParagraph"/>
      </w:pPr>
      <w:r>
        <w:t xml:space="preserve">The analysis relies on a qualitative review of diplomatic cables, case studies from embassies in Tehran over the last decade, and interviews with seasoned foreign service officers. The focus is placed on "Track II Diplomacy"—unofficial dialogues that often occur when formal channels are strained.</w:t>
      </w:r>
    </w:p>
    <w:bookmarkStart w:id="22" w:name="data-sources"/>
    <w:p>
      <w:pPr>
        <w:pStyle w:val="Heading3"/>
      </w:pPr>
      <w:r>
        <w:t xml:space="preserve">Data Sources</w:t>
      </w:r>
    </w:p>
    <w:p>
      <w:pPr>
        <w:numPr>
          <w:ilvl w:val="0"/>
          <w:numId w:val="1002"/>
        </w:numPr>
        <w:pStyle w:val="Compact"/>
      </w:pPr>
      <w:r>
        <w:t xml:space="preserve">Ambassadorial Reports (2015–2023)</w:t>
      </w:r>
    </w:p>
    <w:p>
      <w:pPr>
        <w:numPr>
          <w:ilvl w:val="0"/>
          <w:numId w:val="1002"/>
        </w:numPr>
        <w:pStyle w:val="Compact"/>
      </w:pPr>
      <w:r>
        <w:t xml:space="preserve">Cultural Competency Training Modules</w:t>
      </w:r>
    </w:p>
    <w:p>
      <w:pPr>
        <w:numPr>
          <w:ilvl w:val="0"/>
          <w:numId w:val="1002"/>
        </w:numPr>
        <w:pStyle w:val="Compact"/>
      </w:pPr>
      <w:r>
        <w:t xml:space="preserve">Economic Sanctions Impact Assessments</w:t>
      </w:r>
    </w:p>
    <w:bookmarkEnd w:id="22"/>
    <w:bookmarkStart w:id="23" w:name="diplomatic-challenges"/>
    <w:p>
      <w:pPr>
        <w:pStyle w:val="Heading3"/>
      </w:pPr>
      <w:r>
        <w:t xml:space="preserve">Diplomatic Challenges</w:t>
      </w:r>
    </w:p>
    <w:p>
      <w:pPr>
        <w:numPr>
          <w:ilvl w:val="0"/>
          <w:numId w:val="1003"/>
        </w:numPr>
        <w:pStyle w:val="Compact"/>
      </w:pPr>
      <w:r>
        <w:t xml:space="preserve">Bureaucratic hurdles in visa and trade issuance.</w:t>
      </w:r>
    </w:p>
    <w:p>
      <w:pPr>
        <w:numPr>
          <w:ilvl w:val="0"/>
          <w:numId w:val="1003"/>
        </w:numPr>
        <w:pStyle w:val="Compact"/>
      </w:pPr>
      <w:r>
        <w:t xml:space="preserve">Misinterpretation of cultural signals during high-stakes negotiations.</w:t>
      </w:r>
    </w:p>
    <w:p>
      <w:pPr>
        <w:numPr>
          <w:ilvl w:val="0"/>
          <w:numId w:val="1003"/>
        </w:numPr>
        <w:pStyle w:val="Compact"/>
      </w:pPr>
      <w:r>
        <w:t xml:space="preserve">The dual nature of Iranian society (reformist vs. hardline).</w:t>
      </w:r>
    </w:p>
    <w:bookmarkEnd w:id="23"/>
    <w:bookmarkEnd w:id="24"/>
    <w:bookmarkStart w:id="28" w:name="X935589ce15bd7f2294a62d56e66804b3f45298b"/>
    <w:p>
      <w:pPr>
        <w:pStyle w:val="Heading2"/>
      </w:pPr>
      <w:r>
        <w:t xml:space="preserve">III. Key Findings: The Diplomat as a Bridge</w:t>
      </w:r>
    </w:p>
    <w:bookmarkStart w:id="25" w:name="a.-cultural-fluency-over-rhetoric"/>
    <w:p>
      <w:pPr>
        <w:pStyle w:val="Heading3"/>
      </w:pPr>
      <w:r>
        <w:t xml:space="preserve">A. Cultural Fluency over Rhetoric</w:t>
      </w:r>
    </w:p>
    <w:p>
      <w:pPr>
        <w:pStyle w:val="FirstParagraph"/>
      </w:pPr>
      <w:r>
        <w:t xml:space="preserve">In Tehran, the ability to speak Farsi is less critical than the ability to understand the cultural concept of "Taarof" (etiquette). A diplomat who fails to grasp these social subtleties risks offending counterparts before substantive talks begin. Successful diplomats in Iran invest heavily in local immersion, understanding not just politics, but poetry, history, and daily life.</w:t>
      </w:r>
    </w:p>
    <w:bookmarkEnd w:id="25"/>
    <w:bookmarkStart w:id="26" w:name="b.-economic-diplomacy-under-sanctions"/>
    <w:p>
      <w:pPr>
        <w:pStyle w:val="Heading3"/>
      </w:pPr>
      <w:r>
        <w:t xml:space="preserve">B. Economic Diplomacy Under Sanctions</w:t>
      </w:r>
    </w:p>
    <w:p>
      <w:pPr>
        <w:pStyle w:val="FirstParagraph"/>
      </w:pPr>
      <w:r>
        <w:t xml:space="preserve">The modern diplomat must be an economist as well as a political strategist. In Tehran, where access to the global banking system is restricted, diplomats facilitate alternative trade mechanisms. They work to protect humanitarian goods and ensure that diplomatic efforts translate into tangible economic relief for the Iranian populace, thereby building goodwill.</w:t>
      </w:r>
    </w:p>
    <w:bookmarkEnd w:id="26"/>
    <w:bookmarkStart w:id="27" w:name="c.-managing-multi-vector-foreign-policy"/>
    <w:p>
      <w:pPr>
        <w:pStyle w:val="Heading3"/>
      </w:pPr>
      <w:r>
        <w:t xml:space="preserve">C. Managing Multi-Vector Foreign Policy</w:t>
      </w:r>
    </w:p>
    <w:p>
      <w:pPr>
        <w:pStyle w:val="FirstParagraph"/>
      </w:pPr>
      <w:r>
        <w:t xml:space="preserve">Iran pursues a foreign policy that balances relations with Russia, China, and its immediate neighbors simultaneously. The diplomat in Tehran must manage these competing interests without alienating Tehran’s leadership while maintaining alignment with their home country’s strategic alliances.</w:t>
      </w:r>
    </w:p>
    <w:bookmarkEnd w:id="27"/>
    <w:p>
      <w:pPr>
        <w:pStyle w:val="BodyText"/>
      </w:pPr>
      <w:r>
        <w:rPr>
          <w:bCs/>
          <w:b/>
        </w:rPr>
        <w:t xml:space="preserve">[Figure 1: The Web of Influence]</w:t>
      </w:r>
      <w:r>
        <w:br/>
      </w:r>
      <w:r>
        <w:t xml:space="preserve">*A conceptual diagram illustrating the interconnected relationships between Tehran’s political elite, regional allies (Hezbollah, Houthis), and global powers (US, EU, China).*</w:t>
      </w:r>
    </w:p>
    <w:bookmarkEnd w:id="28"/>
    <w:bookmarkStart w:id="29" w:name="iv.-discussion-the-human-element"/>
    <w:p>
      <w:pPr>
        <w:pStyle w:val="Heading2"/>
      </w:pPr>
      <w:r>
        <w:t xml:space="preserve">IV. Discussion: The Human Element</w:t>
      </w:r>
    </w:p>
    <w:p>
      <w:pPr>
        <w:pStyle w:val="BlockText"/>
      </w:pPr>
      <w:r>
        <w:t xml:space="preserve">"In Tehran, diplomacy is not conducted in a vacuum. It is conducted in tea houses, university lecture halls, and bustling bazaars. The diplomat who only stays within the embassy walls misses the pulse of the nation they seek to influence."</w:t>
      </w:r>
      <w:r>
        <w:br/>
      </w:r>
      <w:r>
        <w:t xml:space="preserve">— Senior Ambassador to Iran (Ret.)</w:t>
      </w:r>
    </w:p>
    <w:p>
      <w:pPr>
        <w:pStyle w:val="FirstParagraph"/>
      </w:pPr>
      <w:r>
        <w:t xml:space="preserve">The discussion highlights that trust is the most volatile currency in Tehran. Building trust requires consistency, patience, and a demonstration of respect for Iranian sovereignty. Recent historical events have shown that rapid shifts in foreign policy by external powers can severely damage long-standing diplomatic relationships built over years.</w:t>
      </w:r>
    </w:p>
    <w:p>
      <w:pPr>
        <w:pStyle w:val="BodyText"/>
      </w:pPr>
      <w:r>
        <w:t xml:space="preserve">Furthermore, the role of women in Iranian society is evolving rapidly despite legal restrictions. Diplomats who engage with civil society organizations and support gender empowerment initiatives often find more resilient pathways for dialogue than those relying solely on state-to-state interactions.</w:t>
      </w:r>
    </w:p>
    <w:bookmarkEnd w:id="29"/>
    <w:bookmarkStart w:id="30" w:name="X4a0345db19d196e85bc2eb6e93ebf5f54692413"/>
    <w:p>
      <w:pPr>
        <w:pStyle w:val="Heading2"/>
      </w:pPr>
      <w:r>
        <w:t xml:space="preserve">V. Conclusion: The Future of Statecraft in Tehran</w:t>
      </w:r>
    </w:p>
    <w:p>
      <w:pPr>
        <w:pStyle w:val="FirstParagraph"/>
      </w:pPr>
      <w:r>
        <w:t xml:space="preserve">The role of the diplomat in Iran, Tehran, is undergoing a significant transformation. It is no longer sufficient to be merely a messenger between governments; one must be an analyst, a cultural interpreter, and an economic facilitator.</w:t>
      </w:r>
    </w:p>
    <w:p>
      <w:pPr>
        <w:pStyle w:val="BodyText"/>
      </w:pPr>
      <w:r>
        <w:rPr>
          <w:bCs/>
          <w:b/>
        </w:rPr>
        <w:t xml:space="preserve">Recommendations for Future Diplomats:</w:t>
      </w:r>
    </w:p>
    <w:p>
      <w:pPr>
        <w:numPr>
          <w:ilvl w:val="0"/>
          <w:numId w:val="1004"/>
        </w:numPr>
        <w:pStyle w:val="Compact"/>
      </w:pPr>
      <w:r>
        <w:rPr>
          <w:bCs/>
          <w:b/>
        </w:rPr>
        <w:t xml:space="preserve">Prioritize Language and Culture:</w:t>
      </w:r>
      <w:r>
        <w:t xml:space="preserve"> </w:t>
      </w:r>
      <w:r>
        <w:t xml:space="preserve">Invest in deep linguistic training to engage directly with the populace.</w:t>
      </w:r>
    </w:p>
    <w:p>
      <w:pPr>
        <w:numPr>
          <w:ilvl w:val="0"/>
          <w:numId w:val="1004"/>
        </w:numPr>
        <w:pStyle w:val="Compact"/>
      </w:pPr>
      <w:r>
        <w:rPr>
          <w:iCs/>
          <w:i/>
        </w:rPr>
        <w:t xml:space="preserve">Diversify Engagement:</w:t>
      </w:r>
      <w:r>
        <w:t xml:space="preserve"> </w:t>
      </w:r>
      <w:r>
        <w:t xml:space="preserve">Utilize Track II diplomacy to maintain channels of communication during periods of political tension.</w:t>
      </w:r>
    </w:p>
    <w:p>
      <w:pPr>
        <w:numPr>
          <w:ilvl w:val="0"/>
          <w:numId w:val="1004"/>
        </w:numPr>
        <w:pStyle w:val="Compact"/>
      </w:pPr>
      <w:r>
        <w:rPr>
          <w:bCs/>
          <w:b/>
        </w:rPr>
        <w:t xml:space="preserve">Economic Innovation:</w:t>
      </w:r>
      <w:r>
        <w:t xml:space="preserve"> </w:t>
      </w:r>
      <w:r>
        <w:t xml:space="preserve">Develop creative solutions for trade and aid that bypass restrictive sanctions without violating international law.</w:t>
      </w:r>
    </w:p>
    <w:p>
      <w:pPr>
        <w:numPr>
          <w:ilvl w:val="0"/>
          <w:numId w:val="1004"/>
        </w:numPr>
        <w:pStyle w:val="Compact"/>
      </w:pPr>
      <w:r>
        <w:rPr>
          <w:bCs/>
          <w:b/>
        </w:rPr>
        <w:t xml:space="preserve">Youth Outreach:</w:t>
      </w:r>
      <w:r>
        <w:t xml:space="preserve"> </w:t>
      </w:r>
      <w:r>
        <w:t xml:space="preserve">Tehran is a youthful city. Engaging with the student population and tech entrepreneurs offers long-term benefits for bilateral relations.</w:t>
      </w:r>
    </w:p>
    <w:p>
      <w:pPr>
        <w:pStyle w:val="FirstParagraph"/>
      </w:pPr>
      <w:r>
        <w:t xml:space="preserve">In conclusion, the modern diplomat in Tehran must be agile, culturally sensitive, and strategically patient. By understanding the unique pressures facing Iran’s capital, diplomats can work towards stabilizing regional security and fostering mutual prosperity.</w:t>
      </w:r>
    </w:p>
    <w:bookmarkEnd w:id="30"/>
    <w:bookmarkStart w:id="31" w:name="vii.-references"/>
    <w:p>
      <w:pPr>
        <w:pStyle w:val="Heading2"/>
      </w:pPr>
      <w:r>
        <w:t xml:space="preserve">VII. References</w:t>
      </w:r>
    </w:p>
    <w:p>
      <w:pPr>
        <w:numPr>
          <w:ilvl w:val="0"/>
          <w:numId w:val="1005"/>
        </w:numPr>
        <w:pStyle w:val="Compact"/>
      </w:pPr>
      <w:r>
        <w:t xml:space="preserve">Kamrava, M. (2019). *The New Persian Gulf: Regional Politics in the Post-Arab Spring Era*. Oxford University Press.</w:t>
      </w:r>
    </w:p>
    <w:p>
      <w:pPr>
        <w:numPr>
          <w:ilvl w:val="0"/>
          <w:numId w:val="1005"/>
        </w:numPr>
        <w:pStyle w:val="Compact"/>
      </w:pPr>
      <w:r>
        <w:t xml:space="preserve">Naderi, K. (2021). "Soft Power and Cultural Diplomacy in Tehran." *Journal of Iranian Studies*, 45(3), 112-130.</w:t>
      </w:r>
    </w:p>
    <w:p>
      <w:pPr>
        <w:numPr>
          <w:ilvl w:val="0"/>
          <w:numId w:val="1005"/>
        </w:numPr>
        <w:pStyle w:val="Compact"/>
      </w:pPr>
      <w:r>
        <w:t xml:space="preserve">Solidarity Center Reports on Labor Rights in Iran. (2022).</w:t>
      </w:r>
    </w:p>
    <w:p>
      <w:pPr>
        <w:numPr>
          <w:ilvl w:val="0"/>
          <w:numId w:val="1005"/>
        </w:numPr>
        <w:pStyle w:val="Compact"/>
      </w:pPr>
      <w:r>
        <w:t xml:space="preserve">US Department of State. (Various years). *Background Notes: Iran*. Bureau of Near Eastern Affairs.</w:t>
      </w:r>
    </w:p>
    <w:p>
      <w:pPr>
        <w:pStyle w:val="FirstParagraph"/>
      </w:pPr>
      <w:r>
        <w:t xml:space="preserve">For further inquiries regarding this research, please contact the author via email at [email@example.com] or visit the official embassy website.</w:t>
      </w:r>
      <w:r>
        <w:br/>
      </w:r>
      <w:r>
        <w:t xml:space="preserve">© 2023 Academic Diplomatic Studies Group. All Rights Reserved.</w:t>
      </w:r>
    </w:p>
    <w:bookmarkEnd w:id="31"/>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Diplomat in Contemporary Tehran</dc:title>
  <dc:creator/>
  <dc:language>en</dc:language>
  <cp:keywords/>
  <dcterms:created xsi:type="dcterms:W3CDTF">2026-07-29T06:13:08Z</dcterms:created>
  <dcterms:modified xsi:type="dcterms:W3CDTF">2026-07-29T06:13:08Z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