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General</w:t>
      </w:r>
      <w:r>
        <w:t xml:space="preserve"> </w:t>
      </w:r>
      <w:r>
        <w:t xml:space="preserve">Practice</w:t>
      </w:r>
      <w:r>
        <w:t xml:space="preserve"> </w:t>
      </w:r>
      <w:r>
        <w:t xml:space="preserve">in</w:t>
      </w:r>
      <w:r>
        <w:t xml:space="preserve"> </w:t>
      </w:r>
      <w:r>
        <w:t xml:space="preserve">Auckland</w:t>
      </w:r>
    </w:p>
    <w:bookmarkStart w:id="20" w:name="bridging-the-gap-in-primary-healthcare"/>
    <w:p>
      <w:pPr>
        <w:pStyle w:val="Heading1"/>
      </w:pPr>
      <w:r>
        <w:t xml:space="preserve">Bridging the Gap in Primary Healthcare</w:t>
      </w:r>
    </w:p>
    <w:p>
      <w:pPr>
        <w:pStyle w:val="FirstParagraph"/>
      </w:pPr>
      <w:r>
        <w:t xml:space="preserve">The Evolving Role of the Doctor General Practitioner within the Unique Demographics of New Zealand Auckland</w:t>
      </w:r>
    </w:p>
    <w:p>
      <w:pPr>
        <w:pStyle w:val="BodyText"/>
      </w:pPr>
      <w:r>
        <w:rPr>
          <w:iCs/>
          <w:i/>
          <w:bCs/>
          <w:b/>
        </w:rPr>
        <w:t xml:space="preserve">Jane Doe, MD, FRCGP (NZ)</w:t>
      </w:r>
      <w:r>
        <w:br/>
      </w:r>
      <w:r>
        <w:t xml:space="preserve">Senior Lecturer &amp; Clinical Lead</w:t>
      </w:r>
      <w:r>
        <w:br/>
      </w:r>
      <w:r>
        <w:t xml:space="preserve">Faculty of Medical and Health Sciences, The University of Auckland</w:t>
      </w:r>
      <w:r>
        <w:br/>
      </w:r>
      <w:r>
        <w:t xml:space="preserve">Auckland District Health Board Research Institute | Aotearoa New Zealand</w:t>
      </w:r>
      <w:r>
        <w:br/>
      </w:r>
    </w:p>
    <w:bookmarkEnd w:id="20"/>
    <w:bookmarkStart w:id="23" w:name="introduction"/>
    <w:p>
      <w:pPr>
        <w:pStyle w:val="Heading2"/>
      </w:pPr>
      <w:r>
        <w:t xml:space="preserve">Introduction</w:t>
      </w:r>
    </w:p>
    <w:p>
      <w:pPr>
        <w:pStyle w:val="FirstParagraph"/>
      </w:pPr>
      <w:r>
        <w:t xml:space="preserve">The Doctor General Practitioner serves as the cornerstone of healthcare systems globally, but in New Zealand Auckland, their role transcends standard primary care models. As the largest metropolis in Aotearoa, Auckland presents a complex tapestry of demographic diversity that challenges and redefines traditional general practice.</w:t>
      </w:r>
    </w:p>
    <w:bookmarkStart w:id="21" w:name="the-unique-context"/>
    <w:p>
      <w:pPr>
        <w:pStyle w:val="Heading3"/>
      </w:pPr>
      <w:r>
        <w:t xml:space="preserve">The Unique Context</w:t>
      </w:r>
    </w:p>
    <w:p>
      <w:pPr>
        <w:pStyle w:val="FirstParagraph"/>
      </w:pPr>
      <w:r>
        <w:t xml:space="preserve">Auckland is distinct not only for its population size but for its rapid growth and significant cultural plurality. The city is home to one of the largest Pacific Island populations globally, a substantial Māori community, and diverse Asian diaspora communities. Consequently, the Doctor General Practitioner in this region must navigate a landscape defined by linguistic barriers, varying health literacy levels, and deep-rooted cultural beliefs regarding wellness.</w:t>
      </w:r>
    </w:p>
    <w:p>
      <w:pPr>
        <w:pStyle w:val="BodyText"/>
      </w:pPr>
      <w:r>
        <w:rPr>
          <w:bCs/>
          <w:b/>
        </w:rPr>
        <w:t xml:space="preserve">Key Challenge:</w:t>
      </w:r>
      <w:r>
        <w:t xml:space="preserve"> </w:t>
      </w:r>
      <w:r>
        <w:t xml:space="preserve">Addressing Health Equity. The disparity between the health outcomes of Māori and non-Māori residents in Auckland remains a critical metric for evaluating the effectiveness of general practice interventions.</w:t>
      </w:r>
    </w:p>
    <w:bookmarkEnd w:id="21"/>
    <w:bookmarkStart w:id="22" w:name="theoretical-framework"/>
    <w:p>
      <w:pPr>
        <w:pStyle w:val="Heading3"/>
      </w:pPr>
      <w:r>
        <w:t xml:space="preserve">Theoretical Framework</w:t>
      </w:r>
    </w:p>
    <w:p>
      <w:pPr>
        <w:pStyle w:val="FirstParagraph"/>
      </w:pPr>
      <w:r>
        <w:t xml:space="preserve">This presentation adopts a biopsychosocial model tailored to multicultural settings. We argue that effective care requires more than clinical excellence; it demands cultural safety and community engagement. The Doctor General Practitioner acts as an advocate, educator, and navigator within the complex New Zealand Auckland health ecosystem.</w:t>
      </w:r>
    </w:p>
    <w:bookmarkEnd w:id="22"/>
    <w:bookmarkEnd w:id="23"/>
    <w:bookmarkStart w:id="26" w:name="current-landscape"/>
    <w:p>
      <w:pPr>
        <w:pStyle w:val="Heading2"/>
      </w:pPr>
      <w:r>
        <w:t xml:space="preserve">Current Landscape</w:t>
      </w:r>
    </w:p>
    <w:p>
      <w:pPr>
        <w:pStyle w:val="FirstParagraph"/>
      </w:pPr>
      <w:r>
        <w:t xml:space="preserve">The healthcare infrastructure in Auckland is undergoing significant transformation. With increasing pressures on the District Health Boards (DHBs), now transitioning to Health New Zealand (Te Whatu Ora), the burden on general practice has intensified.</w:t>
      </w:r>
    </w:p>
    <w:bookmarkStart w:id="24" w:name="patient-load-and-demographics"/>
    <w:p>
      <w:pPr>
        <w:pStyle w:val="Heading3"/>
      </w:pPr>
      <w:r>
        <w:t xml:space="preserve">Patient Load and Demographics</w:t>
      </w:r>
    </w:p>
    <w:p>
      <w:pPr>
        <w:numPr>
          <w:ilvl w:val="0"/>
          <w:numId w:val="1001"/>
        </w:numPr>
        <w:pStyle w:val="Compact"/>
      </w:pPr>
      <w:r>
        <w:rPr>
          <w:bCs/>
          <w:b/>
        </w:rPr>
        <w:t xml:space="preserve">Growth Pressure:</w:t>
      </w:r>
      <w:r>
        <w:t xml:space="preserve"> </w:t>
      </w:r>
      <w:r>
        <w:t xml:space="preserve">Auckland’s population growth outpaces national averages, leading to longer wait times and increased demand for GP services.</w:t>
      </w:r>
    </w:p>
    <w:p>
      <w:pPr>
        <w:numPr>
          <w:ilvl w:val="0"/>
          <w:numId w:val="1001"/>
        </w:numPr>
        <w:pStyle w:val="Compact"/>
      </w:pPr>
      <w:r>
        <w:rPr>
          <w:bCs/>
          <w:b/>
        </w:rPr>
        <w:t xml:space="preserve">Socioeconomic Variation:</w:t>
      </w:r>
      <w:r>
        <w:t xml:space="preserve"> </w:t>
      </w:r>
      <w:r>
        <w:t xml:space="preserve">From the wealthy North Shore to the socioeconomic challenges of South Auckland, the Doctor General Practitioner must adapt their approach based on the specific needs of local communities.</w:t>
      </w:r>
    </w:p>
    <w:p>
      <w:pPr>
        <w:numPr>
          <w:ilvl w:val="0"/>
          <w:numId w:val="1001"/>
        </w:numPr>
        <w:pStyle w:val="Compact"/>
      </w:pPr>
      <w:r>
        <w:rPr>
          <w:bCs/>
          <w:b/>
        </w:rPr>
        <w:t xml:space="preserve">Multicultural Needs:</w:t>
      </w:r>
      <w:r>
        <w:t xml:space="preserve"> </w:t>
      </w:r>
      <w:r>
        <w:t xml:space="preserve">Effective communication requires access to interpreter services and culturally tailored health promotion materials.</w:t>
      </w:r>
    </w:p>
    <w:p>
      <w:pPr>
        <w:pStyle w:val="FirstParagraph"/>
      </w:pPr>
      <w:r>
        <w:rPr>
          <w:bCs/>
          <w:b/>
        </w:rPr>
        <w:t xml:space="preserve">Innovation in Practice:</w:t>
      </w:r>
      <w:r>
        <w:t xml:space="preserve"> </w:t>
      </w:r>
      <w:r>
        <w:t xml:space="preserve">Integration of digital health tools. Telehealth has become a vital component of the Doctor General Practitioner’s toolkit in New Zealand Auckland, allowing for remote consultations that bridge geographic gaps, particularly for elderly patients and those with mobility issues.</w:t>
      </w:r>
    </w:p>
    <w:bookmarkEnd w:id="24"/>
    <w:bookmarkStart w:id="25" w:name="mental-health-integration"/>
    <w:p>
      <w:pPr>
        <w:pStyle w:val="Heading3"/>
      </w:pPr>
      <w:r>
        <w:t xml:space="preserve">Mental Health Integration</w:t>
      </w:r>
    </w:p>
    <w:p>
      <w:pPr>
        <w:pStyle w:val="FirstParagraph"/>
      </w:pPr>
      <w:r>
        <w:t xml:space="preserve">Rising rates of anxiety and depression require GPs to work closely with psychologists and psychiatrists. In Auckland, there is a strong push towards integrating mental health support into general practice, recognizing that physical and mental wellness are inextricably linked.</w:t>
      </w:r>
    </w:p>
    <w:bookmarkEnd w:id="25"/>
    <w:bookmarkEnd w:id="26"/>
    <w:bookmarkStart w:id="30" w:name="findings-implications"/>
    <w:p>
      <w:pPr>
        <w:pStyle w:val="Heading2"/>
      </w:pPr>
      <w:r>
        <w:t xml:space="preserve">Findings &amp; Implications</w:t>
      </w:r>
    </w:p>
    <w:p>
      <w:pPr>
        <w:pStyle w:val="FirstParagraph"/>
      </w:pPr>
      <w:r>
        <w:t xml:space="preserve">Data collected from recent community health initiatives in New Zealand Auckland highlight several critical areas for improvement and success stories worth noting.</w:t>
      </w:r>
    </w:p>
    <w:bookmarkStart w:id="27" w:name="cultural-safety-outcomes"/>
    <w:p>
      <w:pPr>
        <w:pStyle w:val="Heading3"/>
      </w:pPr>
      <w:r>
        <w:t xml:space="preserve">Cultural Safety Outcomes</w:t>
      </w:r>
    </w:p>
    <w:p>
      <w:pPr>
        <w:pStyle w:val="FirstParagraph"/>
      </w:pPr>
      <w:r>
        <w:t xml:space="preserve">Hospitals and clinics that employ Doctor General Practitioners trained in Te Ao Māori (the Māori world) see higher patient retention rates. Trust is the currency of general practice, and for many Indigenous patients, cultural safety is a prerequisite for engagement.</w:t>
      </w:r>
    </w:p>
    <w:bookmarkEnd w:id="27"/>
    <w:bookmarkStart w:id="28" w:name="the-role-of-prevention"/>
    <w:p>
      <w:pPr>
        <w:pStyle w:val="Heading3"/>
      </w:pPr>
      <w:r>
        <w:t xml:space="preserve">The Role of Prevention</w:t>
      </w:r>
    </w:p>
    <w:p>
      <w:pPr>
        <w:pStyle w:val="FirstParagraph"/>
      </w:pPr>
      <w:r>
        <w:t xml:space="preserve">The Doctor General Practitioner in Auckland has shifted focus from reactive treatment to proactive prevention. Chronic disease management programs targeting diabetes and cardiovascular health—prevalent issues in certain demographic groups—have shown promise when delivered through culturally adapted community workshops.</w:t>
      </w:r>
    </w:p>
    <w:p>
      <w:pPr>
        <w:pStyle w:val="BodyText"/>
      </w:pPr>
      <w:r>
        <w:rPr>
          <w:bCs/>
          <w:b/>
        </w:rPr>
        <w:t xml:space="preserve">Future Directions:</w:t>
      </w:r>
      <w:r>
        <w:t xml:space="preserve"> </w:t>
      </w:r>
      <w:r>
        <w:t xml:space="preserve">To sustain high-quality care, we propose:</w:t>
      </w:r>
    </w:p>
    <w:p>
      <w:pPr>
        <w:numPr>
          <w:ilvl w:val="0"/>
          <w:numId w:val="1002"/>
        </w:numPr>
        <w:pStyle w:val="Compact"/>
      </w:pPr>
      <w:r>
        <w:rPr>
          <w:bCs/>
          <w:b/>
        </w:rPr>
        <w:t xml:space="preserve">Scholarship Programs:</w:t>
      </w:r>
      <w:r>
        <w:t xml:space="preserve"> </w:t>
      </w:r>
      <w:r>
        <w:t xml:space="preserve">Incentivizing medical students to specialize in general practice within Auckland’s diverse communities.</w:t>
      </w:r>
    </w:p>
    <w:p>
      <w:pPr>
        <w:numPr>
          <w:ilvl w:val="0"/>
          <w:numId w:val="1002"/>
        </w:numPr>
        <w:pStyle w:val="Compact"/>
      </w:pPr>
      <w:r>
        <w:rPr>
          <w:bCs/>
          <w:b/>
        </w:rPr>
        <w:t xml:space="preserve">Community Liaison Roles:</w:t>
      </w:r>
      <w:r>
        <w:t xml:space="preserve"> </w:t>
      </w:r>
      <w:r>
        <w:t xml:space="preserve">Embedding GPs within local community centers to build trust and accessibility.</w:t>
      </w:r>
    </w:p>
    <w:p>
      <w:pPr>
        <w:numPr>
          <w:ilvl w:val="0"/>
          <w:numId w:val="1002"/>
        </w:numPr>
        <w:pStyle w:val="Compact"/>
      </w:pPr>
      <w:r>
        <w:rPr>
          <w:bCs/>
          <w:b/>
        </w:rPr>
        <w:t xml:space="preserve">Data Sharing:</w:t>
      </w:r>
      <w:r>
        <w:t xml:space="preserve"> </w:t>
      </w:r>
      <w:r>
        <w:t xml:space="preserve">Enhanced interoperability between primary care data and secondary hospital systems in New Zealand Auckland to prevent fragmented care.</w:t>
      </w:r>
    </w:p>
    <w:bookmarkEnd w:id="28"/>
    <w:bookmarkStart w:id="29" w:name="economic-impact"/>
    <w:p>
      <w:pPr>
        <w:pStyle w:val="Heading3"/>
      </w:pPr>
      <w:r>
        <w:t xml:space="preserve">Economic Impact</w:t>
      </w:r>
    </w:p>
    <w:p>
      <w:pPr>
        <w:pStyle w:val="FirstParagraph"/>
      </w:pPr>
      <w:r>
        <w:t xml:space="preserve">Investing in robust general practice reduces the strain on emergency departments. The economic argument for supporting the Doctor General Practitioner is strong; every dollar spent on effective primary care in New Zealand Auckland saves multiple dollars in acute hospital care.</w:t>
      </w:r>
    </w:p>
    <w:bookmarkEnd w:id="29"/>
    <w:bookmarkEnd w:id="30"/>
    <w:p>
      <w:pPr>
        <w:pStyle w:val="BodyText"/>
      </w:pPr>
      <w:r>
        <w:rPr>
          <w:bCs/>
          <w:b/>
        </w:rPr>
        <w:t xml:space="preserve">Acknowledgements:</w:t>
      </w:r>
      <w:r>
        <w:t xml:space="preserve">We thank the community health workers, patients, and staff across Auckland who contributed to this research. Special thanks to the Ministry of Health New Zealand for data support.</w:t>
      </w:r>
    </w:p>
    <w:p>
      <w:pPr>
        <w:pStyle w:val="BodyText"/>
      </w:pPr>
      <w:r>
        <w:t xml:space="preserve">© 2023 Academic Poster Presentation Series | Department of General Practice, University of Auckland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General Practice in Auckland</dc:title>
  <dc:creator/>
  <dc:language>en</dc:language>
  <cp:keywords/>
  <dcterms:created xsi:type="dcterms:W3CDTF">2026-07-29T18:41:56Z</dcterms:created>
  <dcterms:modified xsi:type="dcterms:W3CDTF">2026-07-29T18:41:56Z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