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01af450ee63cfa44841e6104abd677eb07f9d9c"/>
    <w:p>
      <w:pPr>
        <w:pStyle w:val="Heading1"/>
      </w:pPr>
      <w:r>
        <w:t xml:space="preserve">Redefining Primary Care Delivery Models in a Rapidly Evolving Healthcare Ecosystem</w:t>
      </w:r>
    </w:p>
    <w:bookmarkStart w:id="20" w:name="X7ae3f2a7ce26b15ae3b6b8198e7a5480ed4ba59"/>
    <w:p>
      <w:pPr>
        <w:pStyle w:val="Heading2"/>
      </w:pPr>
      <w:r>
        <w:t xml:space="preserve">A Poster Presentation academic Analysis Focused on Clinical Excellence, Policy Integration, and Patient-Centered Outcomes for the Doctor General Practitioner in the United Arab Emirates Abu Dhabi Region</w:t>
      </w:r>
    </w:p>
    <w:bookmarkEnd w:id="20"/>
    <w:bookmarkEnd w:id="21"/>
    <w:bookmarkStart w:id="22" w:name="introduction-background"/>
    <w:p>
      <w:pPr>
        <w:pStyle w:val="Heading3"/>
      </w:pPr>
      <w:r>
        <w:t xml:space="preserve">Introduction &amp; Background</w:t>
      </w:r>
    </w:p>
    <w:p>
      <w:pPr>
        <w:pStyle w:val="FirstParagraph"/>
      </w:pPr>
      <w:r>
        <w:t xml:space="preserve">The global healthcare landscape is undergoing a paradigm shift toward value-based primary care, with the Doctor General Practitioner positioned at the core of sustainable medical ecosystems. This Poster Presentation academic framework examines how foundational clinical practices must adapt to meet rapidly evolving demographic demands, technological integration requirements, and regional health policy directives. Primary care physicians serve as the essential first point of contact for patient encounters, chronic disease management, preventive screenings, and health system navigation.</w:t>
      </w:r>
    </w:p>
    <w:p>
      <w:pPr>
        <w:pStyle w:val="BodyText"/>
      </w:pPr>
      <w:r>
        <w:t xml:space="preserve">In alignment with international medical standards and regional public health mandates, this document outlines critical competencies required to optimize clinical workflows while maintaining high standards of diagnostic accuracy and therapeutic efficacy. The strategic realignment of primary care services ensures that population-level health metrics improve through early intervention strategies rather than reactive tertiary treatments.</w:t>
      </w:r>
    </w:p>
    <w:bookmarkEnd w:id="22"/>
    <w:bookmarkStart w:id="23" w:name="regional-healthcare-context"/>
    <w:p>
      <w:pPr>
        <w:pStyle w:val="Heading3"/>
      </w:pPr>
      <w:r>
        <w:t xml:space="preserve">Regional Healthcare Context</w:t>
      </w:r>
    </w:p>
    <w:p>
      <w:pPr>
        <w:pStyle w:val="FirstParagraph"/>
      </w:pPr>
      <w:r>
        <w:t xml:space="preserve">The United Arab Emirates Abu Dhabi healthcare infrastructure represents one of the most advanced, digitally integrated medical systems in the Middle East. With strategic initiatives driving toward universal health coverage, preventive care accessibility, and clinical data interoperability, primary care clinics operate within a highly regulated yet innovative environment. The regional population demonstrates diverse epidemiological profiles characterized by rising rates of metabolic disorders, cardiovascular conditions requiring long-term monitoring alongside emerging public health priorities.</w:t>
      </w:r>
    </w:p>
    <w:p>
      <w:pPr>
        <w:pStyle w:val="BodyText"/>
      </w:pPr>
      <w:r>
        <w:t xml:space="preserve">Health system planners in the United Arab Emirates Abu Dhabi have prioritized robust primary care networks to alleviate pressure on hospital-based emergency services and specialist referrals. Consequently, the modern medical practitioner must possess sophisticated clinical knowledge combined with administrative competence to navigate integrated insurance frameworks, electronic health record mandates, and multidisciplinary team coordination protocols.</w:t>
      </w:r>
    </w:p>
    <w:bookmarkEnd w:id="23"/>
    <w:bookmarkStart w:id="24" w:name="Xfe61906c4f14cd778076dadda7381e38526f356"/>
    <w:p>
      <w:pPr>
        <w:pStyle w:val="Heading3"/>
      </w:pPr>
      <w:r>
        <w:t xml:space="preserve">Clinical Competencies &amp; Practice Challenges</w:t>
      </w:r>
    </w:p>
    <w:p>
      <w:pPr>
        <w:pStyle w:val="FirstParagraph"/>
      </w:pPr>
      <w:r>
        <w:t xml:space="preserve">The Doctor General Practitioner operating within contemporary medical settings must master broad-spectrum diagnostic reasoning while maintaining specialized awareness of region-specific health risks. Key clinical competencies include comprehensive chronic disease management protocols, pediatric and geriatric care coordination, mental health initial assessments, and culturally responsive patient communication strategies. Diagnostic accuracy remains paramount, requiring continuous professional development through evidence-based medicine updates and localized clinical guidelines.</w:t>
      </w:r>
    </w:p>
    <w:p>
      <w:pPr>
        <w:numPr>
          <w:ilvl w:val="0"/>
          <w:numId w:val="1001"/>
        </w:numPr>
        <w:pStyle w:val="Compact"/>
      </w:pPr>
      <w:r>
        <w:t xml:space="preserve">Management of complex multimorbidity presentations common in aging populations</w:t>
      </w:r>
    </w:p>
    <w:p>
      <w:pPr>
        <w:numPr>
          <w:ilvl w:val="0"/>
          <w:numId w:val="1001"/>
        </w:numPr>
        <w:pStyle w:val="Compact"/>
      </w:pPr>
      <w:r>
        <w:t xml:space="preserve">Rapid triage decision-making to determine appropriate referral pathways</w:t>
      </w:r>
    </w:p>
    <w:p>
      <w:pPr>
        <w:numPr>
          <w:ilvl w:val="0"/>
          <w:numId w:val="1001"/>
        </w:numPr>
        <w:pStyle w:val="Compact"/>
      </w:pPr>
      <w:r>
        <w:t xml:space="preserve">Vaccination program implementation aligned with regional immunization schedules</w:t>
      </w:r>
    </w:p>
    <w:p>
      <w:pPr>
        <w:numPr>
          <w:ilvl w:val="0"/>
          <w:numId w:val="1001"/>
        </w:numPr>
        <w:pStyle w:val="Compact"/>
      </w:pPr>
      <w:r>
        <w:t xml:space="preserve">Patient education initiatives addressing lifestyle modification and preventive screening adherence</w:t>
      </w:r>
    </w:p>
    <w:bookmarkEnd w:id="24"/>
    <w:bookmarkStart w:id="25" w:name="Xcb63dd30b73dbde3c10a4f72c6a51a090f606a4"/>
    <w:p>
      <w:pPr>
        <w:pStyle w:val="Heading3"/>
      </w:pPr>
      <w:r>
        <w:t xml:space="preserve">Digital Health Integration &amp; Workflow Optimization</w:t>
      </w:r>
    </w:p>
    <w:p>
      <w:pPr>
        <w:pStyle w:val="FirstParagraph"/>
      </w:pPr>
      <w:r>
        <w:t xml:space="preserve">The United Arab Emirates Abu Dhabi has accelerated the adoption of telemedicine platforms, artificial intelligence-assisted diagnostic tools, and centralized health information exchanges. The Doctor General Practitioner must seamlessly integrate these technological advancements into daily clinical workflows without compromising patient-provider rapport. Electronic prescription systems, automated medication reconciliation algorithms, and remote vital sign monitoring devices significantly enhance care continuity while reducing administrative bottlenecks.</w:t>
      </w:r>
    </w:p>
    <w:p>
      <w:pPr>
        <w:pStyle w:val="BodyText"/>
      </w:pPr>
      <w:r>
        <w:t xml:space="preserve">Data literacy has emerged as a critical competency for contemporary primary care practitioners. Understanding population health analytics enables the Doctor General Practitioner to identify emerging community health trends, allocate preventive resources efficiently, and participate meaningfully in public health surveillance initiatives. This technological proficiency ensures that clinical decision-making remains both precise and scalable across diverse patient demographics.</w:t>
      </w:r>
    </w:p>
    <w:bookmarkEnd w:id="25"/>
    <w:bookmarkStart w:id="26" w:name="Xb9c90c9d8d22cf9a82fbce915b9a71f2bd1bc48"/>
    <w:p>
      <w:pPr>
        <w:pStyle w:val="Heading3"/>
      </w:pPr>
      <w:r>
        <w:t xml:space="preserve">Cultural Competence &amp; Ethical Practice Standards</w:t>
      </w:r>
    </w:p>
    <w:p>
      <w:pPr>
        <w:pStyle w:val="FirstParagraph"/>
      </w:pPr>
      <w:r>
        <w:t xml:space="preserve">Serving a highly multicultural population demands exceptional cultural intelligence, linguistic adaptability, and ethical decision-making frameworks. The Doctor General Practitioner must navigate diverse health beliefs, traditional medicine practices, and varying levels of health literacy while maintaining strict adherence to medical ethics and patient autonomy principles. Building trust across demographic groups requires respectful communication styles that honor religious considerations regarding dietary restrictions, modesty preferences during physical examinations, and family-centered decision-making processes.</w:t>
      </w:r>
    </w:p>
    <w:p>
      <w:pPr>
        <w:pStyle w:val="BodyText"/>
      </w:pPr>
      <w:r>
        <w:t xml:space="preserve">Ethical challenges frequently arise when balancing resource allocation with individualized care requirements. The Doctor General Practitioner operates within regulated insurance frameworks where formulary restrictions may influence therapeutic choices. Transparent counseling about evidence-based alternatives, cost-effective generic prescribing strategies, and shared decision-making models ensure that ethical standards remain uncompromised regardless of socioeconomic constraints.</w:t>
      </w:r>
    </w:p>
    <w:bookmarkEnd w:id="26"/>
    <w:bookmarkStart w:id="27" w:name="conclusion-strategic-takeaways"/>
    <w:p>
      <w:pPr>
        <w:pStyle w:val="Heading3"/>
      </w:pPr>
      <w:r>
        <w:t xml:space="preserve">Conclusion &amp; Strategic Takeaways</w:t>
      </w:r>
    </w:p>
    <w:p>
      <w:pPr>
        <w:pStyle w:val="FirstParagraph"/>
      </w:pPr>
      <w:r>
        <w:t xml:space="preserve">This Poster Presentation academic analysis underscores that optimizing primary care delivery requires continuous adaptation to clinical innovations, digital transformation, and population health imperatives. The Doctor General Practitioner in the United Arab Emirates Abu Dhabi serves as a vital cornerstone within integrated healthcare networks, bridging preventive medicine with acute symptom management. Future directions emphasize expanded interprofessional collaboration models, enhanced community outreach programs targeting metabolic disease prevention, and sustained investment in clinician wellness initiatives to mitigate professional burnout.</w:t>
      </w:r>
    </w:p>
    <w:p>
      <w:pPr>
        <w:pStyle w:val="BodyText"/>
      </w:pPr>
      <w:r>
        <w:t xml:space="preserve">By aligning clinical excellence with regional health policy objectives and embracing technological advancement while preserving human-centered care principles, the primary care sector will achieve measurable improvements in population health metrics. Stakeholders across public institutions, private clinics, educational faculties, and regulatory bodies must collaborate to sustain an environment where the Doctor General Practitioner can thrive while delivering exceptional outcomes for communities throughout the United Arab Emirates Abu Dhabi region.</w:t>
      </w:r>
    </w:p>
    <w:bookmarkEnd w:id="27"/>
    <w:p>
      <w:pPr>
        <w:pStyle w:val="BodyText"/>
      </w:pPr>
      <w:r>
        <w:t xml:space="preserve">Document formatted as a digital academic poster presentation | Primary Care Clinical Research &amp; Regional Health Policy Analysis | © 2024 Healthcare Education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Doctor General Practitioner in United Arab Emirates Abu Dhabi</dc:title>
  <dc:creator/>
  <dc:language>en</dc:language>
  <cp:keywords/>
  <dcterms:created xsi:type="dcterms:W3CDTF">2026-07-30T09:11:09Z</dcterms:created>
  <dcterms:modified xsi:type="dcterms:W3CDTF">2026-07-30T09:11:09Z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