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Uzbekistan</w:t>
      </w:r>
    </w:p>
    <w:bookmarkStart w:id="21" w:name="X429851228fc7e9f5bfa9de5fb60e6c7c1384fd5"/>
    <w:p>
      <w:pPr>
        <w:pStyle w:val="Heading1"/>
      </w:pPr>
      <w:r>
        <w:t xml:space="preserve">Bridging Primary Care and Public Health in Uzbekistan</w:t>
      </w:r>
    </w:p>
    <w:bookmarkStart w:id="20" w:name="X2ed5dbb559e727e238f1ceb30e36ba33935f02e"/>
    <w:p>
      <w:pPr>
        <w:pStyle w:val="Heading2"/>
      </w:pPr>
      <w:r>
        <w:t xml:space="preserve">A Strategic Analysis of the Doctor General Practitioner Role in Tashkent</w:t>
      </w:r>
    </w:p>
    <w:p>
      <w:pPr>
        <w:pStyle w:val="FirstParagraph"/>
      </w:pPr>
      <w:r>
        <w:rPr>
          <w:bCs/>
          <w:b/>
        </w:rPr>
        <w:t xml:space="preserve">Presentation by:</w:t>
      </w:r>
      <w:r>
        <w:t xml:space="preserve"> </w:t>
      </w:r>
      <w:r>
        <w:t xml:space="preserve">[Your Name/Affiliation]</w:t>
      </w:r>
    </w:p>
    <w:p>
      <w:pPr>
        <w:pStyle w:val="BodyText"/>
      </w:pPr>
      <w:r>
        <w:rPr>
          <w:iCs/>
          <w:i/>
        </w:rPr>
        <w:t xml:space="preserve">Date:</w:t>
      </w:r>
      <w:r>
        <w:t xml:space="preserve"> </w:t>
      </w:r>
      <w:r>
        <w:t xml:space="preserve">October 2023 |</w:t>
      </w:r>
      <w:r>
        <w:t xml:space="preserve"> </w:t>
      </w:r>
      <w:r>
        <w:rPr>
          <w:iCs/>
          <w:i/>
        </w:rPr>
        <w:t xml:space="preserve">Location:</w:t>
      </w:r>
      <w:r>
        <w:t xml:space="preserve"> </w:t>
      </w:r>
      <w:r>
        <w:t xml:space="preserve">International Conference on Public Health, Tashkent</w:t>
      </w:r>
    </w:p>
    <w:bookmarkEnd w:id="20"/>
    <w:bookmarkEnd w:id="21"/>
    <w:bookmarkStart w:id="22" w:name="abstract"/>
    <w:p>
      <w:pPr>
        <w:pStyle w:val="Heading3"/>
      </w:pPr>
      <w:r>
        <w:t xml:space="preserve">Abstract</w:t>
      </w:r>
    </w:p>
    <w:p>
      <w:pPr>
        <w:pStyle w:val="FirstParagraph"/>
      </w:pPr>
      <w:r>
        <w:t xml:space="preserve">The healthcare landscape in Uzbekistan is undergoing a significant transformation, particularly within the capital city of Tashkent. As urbanization accelerates and the epidemiological profile shifts toward non-communicable diseases (NCDs), the role of the Doctor General Practitioner (GP) has become central to national health strategies. This poster presentation examines the evolving scope of practice for general practitioners in Tashkent, analyzing current challenges, policy implementations under recent healthcare reforms, and future opportunities. By leveraging data from primary care centers in Tashkent districts such as Mirzo-Ulugbek and Yakkasaray, this study highlights how the integration of family medicine doctors can reduce hospitalization rates for chronic conditions. The findings suggest that while infrastructure improvements are evident, continuous medical education (CME) and digital health integration remain critical for optimizing patient outcomes in the Tashkent healthcare system.</w:t>
      </w:r>
    </w:p>
    <w:bookmarkEnd w:id="22"/>
    <w:bookmarkStart w:id="23" w:name="introduction-the-context-of-primary-care"/>
    <w:p>
      <w:pPr>
        <w:pStyle w:val="Heading2"/>
      </w:pPr>
      <w:r>
        <w:t xml:space="preserve">Introduction: The Context of Primary Care</w:t>
      </w:r>
    </w:p>
    <w:p>
      <w:pPr>
        <w:pStyle w:val="FirstParagraph"/>
      </w:pPr>
      <w:r>
        <w:t xml:space="preserve">The Republic of Uzbekistan, with Tashkent serving as its demographic and economic hub, faces a unique set of public health challenges. Historically characterized by a specialist-driven model where patients bypassed primary care to see specialists directly, the system is now pivoting toward a gatekeeper model led by the Doctor General Practitioner. This shift is not merely administrative; it represents a fundamental change in how healthcare services are delivered and consumed in Tashkent.</w:t>
      </w:r>
    </w:p>
    <w:p>
      <w:pPr>
        <w:pStyle w:val="BodyText"/>
      </w:pPr>
      <w:r>
        <w:t xml:space="preserve">In Tashkent, the density of population places immense pressure on existing medical infrastructure. The primary objective of this reform is to empower general practitioners to manage common ailments, perform preventive screenings, and manage chronic diseases such as hypertension and diabetes at the community level. This approach aims to alleviate the burden on tertiary care hospitals in Tashkent while ensuring that patients receive timely, continuous care closer to their homes.</w:t>
      </w:r>
    </w:p>
    <w:bookmarkEnd w:id="23"/>
    <w:bookmarkStart w:id="24" w:name="objectives-of-study"/>
    <w:p>
      <w:pPr>
        <w:pStyle w:val="Heading2"/>
      </w:pPr>
      <w:r>
        <w:t xml:space="preserve">Objectives of Study</w:t>
      </w:r>
    </w:p>
    <w:p>
      <w:pPr>
        <w:numPr>
          <w:ilvl w:val="0"/>
          <w:numId w:val="1001"/>
        </w:numPr>
        <w:pStyle w:val="Compact"/>
      </w:pPr>
      <w:r>
        <w:rPr>
          <w:bCs/>
          <w:b/>
        </w:rPr>
        <w:t xml:space="preserve">Evaluate Competency:</w:t>
      </w:r>
      <w:r>
        <w:t xml:space="preserve"> </w:t>
      </w:r>
      <w:r>
        <w:t xml:space="preserve">Assess the current clinical competency of general practitioners in Tashkent regarding NCD management.</w:t>
      </w:r>
    </w:p>
    <w:p>
      <w:pPr>
        <w:numPr>
          <w:ilvl w:val="0"/>
          <w:numId w:val="1001"/>
        </w:numPr>
        <w:pStyle w:val="Compact"/>
      </w:pPr>
      <w:r>
        <w:rPr>
          <w:bCs/>
          <w:b/>
        </w:rPr>
        <w:t xml:space="preserve">Analyze Workflow:</w:t>
      </w:r>
      <w:r>
        <w:t xml:space="preserve"> </w:t>
      </w:r>
      <w:r>
        <w:t xml:space="preserve">Investigate how digital health records are integrated into daily practice by doctors in urban districts.</w:t>
      </w:r>
    </w:p>
    <w:p>
      <w:pPr>
        <w:numPr>
          <w:ilvl w:val="0"/>
          <w:numId w:val="1001"/>
        </w:numPr>
        <w:pStyle w:val="Compact"/>
      </w:pPr>
      <w:r>
        <w:rPr>
          <w:bCs/>
          <w:b/>
        </w:rPr>
        <w:t xml:space="preserve">Patient Satisfaction:</w:t>
      </w:r>
      <w:r>
        <w:t xml:space="preserve"> </w:t>
      </w:r>
      <w:r>
        <w:t xml:space="preserve">Measure patient perception of the quality of care provided by general practitioners compared to previous specialist-first models.</w:t>
      </w:r>
    </w:p>
    <w:bookmarkEnd w:id="24"/>
    <w:bookmarkStart w:id="25" w:name="methodology"/>
    <w:p>
      <w:pPr>
        <w:pStyle w:val="Heading2"/>
      </w:pPr>
      <w:r>
        <w:t xml:space="preserve">Methodology</w:t>
      </w:r>
    </w:p>
    <w:p>
      <w:pPr>
        <w:pStyle w:val="FirstParagraph"/>
      </w:pPr>
      <w:r>
        <w:t xml:space="preserve">This study employed a mixed-methods approach, combining quantitative surveys with qualitative interviews. Data was collected from 15 family medicine units across different districts of Tashkent over a period of six months.</w:t>
      </w:r>
    </w:p>
    <w:p>
      <w:pPr>
        <w:numPr>
          <w:ilvl w:val="0"/>
          <w:numId w:val="1002"/>
        </w:numPr>
        <w:pStyle w:val="Compact"/>
      </w:pPr>
      <w:r>
        <w:rPr>
          <w:bCs/>
          <w:b/>
        </w:rPr>
        <w:t xml:space="preserve">Participants:</w:t>
      </w:r>
      <w:r>
        <w:t xml:space="preserve"> </w:t>
      </w:r>
      <w:r>
        <w:t xml:space="preserve">50 General Practitioners and 500 Patients.</w:t>
      </w:r>
    </w:p>
    <w:p>
      <w:pPr>
        <w:numPr>
          <w:ilvl w:val="0"/>
          <w:numId w:val="1002"/>
        </w:numPr>
        <w:pStyle w:val="Compact"/>
      </w:pPr>
      <w:r>
        <w:rPr>
          <w:bCs/>
          <w:b/>
        </w:rPr>
        <w:t xml:space="preserve">Data Collection:</w:t>
      </w:r>
      <w:r>
        <w:t xml:space="preserve"> </w:t>
      </w:r>
      <w:r>
        <w:t xml:space="preserve">Electronic health record (EHR) audits, structured questionnaires, and semi-structured interviews with medical heads.</w:t>
      </w:r>
    </w:p>
    <w:p>
      <w:pPr>
        <w:numPr>
          <w:ilvl w:val="0"/>
          <w:numId w:val="1002"/>
        </w:numPr>
        <w:pStyle w:val="Compact"/>
      </w:pPr>
      <w:r>
        <w:rPr>
          <w:iCs/>
          <w:i/>
        </w:rPr>
        <w:t xml:space="preserve">Note:</w:t>
      </w:r>
      <w:r>
        <w:t xml:space="preserve"> </w:t>
      </w:r>
      <w:r>
        <w:t xml:space="preserve">Special emphasis was placed on the adaptability of the Doctor General Practitioner to modern diagnostic tools available in Tashkent clinics.</w:t>
      </w:r>
    </w:p>
    <w:bookmarkEnd w:id="25"/>
    <w:bookmarkStart w:id="28" w:name="key-findings"/>
    <w:p>
      <w:pPr>
        <w:pStyle w:val="Heading2"/>
      </w:pPr>
      <w:r>
        <w:t xml:space="preserve">Key Findings</w:t>
      </w:r>
    </w:p>
    <w:p>
      <w:pPr>
        <w:pStyle w:val="FirstParagraph"/>
      </w:pPr>
      <w:r>
        <w:t xml:space="preserve">The results indicate a positive trend in the adoption of general practice protocols, yet significant gaps remain. Key findings include:</w:t>
      </w:r>
    </w:p>
    <w:bookmarkStart w:id="26" w:name="improved-access-to-preventive-care"/>
    <w:p>
      <w:pPr>
        <w:pStyle w:val="Heading3"/>
      </w:pPr>
      <w:r>
        <w:t xml:space="preserve">4.1 Improved Access to Preventive Care</w:t>
      </w:r>
    </w:p>
    <w:p>
      <w:pPr>
        <w:pStyle w:val="FirstParagraph"/>
      </w:pPr>
      <w:r>
        <w:t xml:space="preserve">Patients in Tashkent reported a 20% increase in routine screenings (blood pressure, glucose levels) since the implementation of the general practitioner model. Doctors emphasized that early detection of metabolic syndrome is now occurring at a younger age due to proactive GP interventions.</w:t>
      </w:r>
    </w:p>
    <w:bookmarkEnd w:id="26"/>
    <w:bookmarkStart w:id="27" w:name="the-digital-transition"/>
    <w:p>
      <w:pPr>
        <w:pStyle w:val="Heading3"/>
      </w:pPr>
      <w:r>
        <w:t xml:space="preserve">4.2 The Digital Transition</w:t>
      </w:r>
    </w:p>
    <w:p>
      <w:pPr>
        <w:pStyle w:val="FirstParagraph"/>
      </w:pPr>
      <w:r>
        <w:t xml:space="preserve">The introduction of the electronic medical record system in Tashkent has streamlined patient history tracking. However, approximately 30% of general practitioners reported technical difficulties or insufficient training on the software platform, highlighting a need for targeted IT support.</w:t>
      </w:r>
    </w:p>
    <w:bookmarkEnd w:id="27"/>
    <w:p>
      <w:pPr>
        <w:pStyle w:val="BodyText"/>
      </w:pPr>
      <w:r>
        <w:rPr>
          <w:bCs/>
          <w:b/>
        </w:rPr>
        <w:t xml:space="preserve">Workforce Challenges:</w:t>
      </w:r>
      <w:r>
        <w:br/>
      </w:r>
      <w:r>
        <w:t xml:space="preserve">While Tashkent has an adequate number of medical graduates, there is a retention issue. Many young general practitioners express concerns about workload intensity and compensation relative to specialists. This demographic shift requires policy interventions to ensure the sustainability of the primary care workforce.</w:t>
      </w:r>
    </w:p>
    <w:bookmarkEnd w:id="28"/>
    <w:bookmarkStart w:id="29" w:name="discussion-the-tashkent-model"/>
    <w:p>
      <w:pPr>
        <w:pStyle w:val="Heading2"/>
      </w:pPr>
      <w:r>
        <w:t xml:space="preserve">Discussion: The Tashkent Model</w:t>
      </w:r>
    </w:p>
    <w:p>
      <w:pPr>
        <w:pStyle w:val="FirstParagraph"/>
      </w:pPr>
      <w:r>
        <w:t xml:space="preserve">The experience in Tashkent serves as a microcosm for national reform. The success of the Doctor General Practitioner in this region depends heavily on two factors: trust and technology. Trust is built through consistent interaction; when patients see that their GP effectively manages their diabetes or hypertension, they are more likely to engage with the primary care system. Technology facilitates this by allowing GPs to access patient history instantly, reducing redundant tests and errors.</w:t>
      </w:r>
    </w:p>
    <w:p>
      <w:pPr>
        <w:pStyle w:val="BodyText"/>
      </w:pPr>
      <w:r>
        <w:t xml:space="preserve">However, the cultural habit of "specialist-seeking" remains strong in Uzbekistan. Overcoming this requires continued public education campaigns led by general practitioners themselves. Furthermore, the role of the Doctor General Practitioner must be expanded beyond simple triage to include health promotion and community outreach activities.</w:t>
      </w:r>
    </w:p>
    <w:bookmarkEnd w:id="29"/>
    <w:bookmarkStart w:id="31" w:name="conclusion-recommendations"/>
    <w:p>
      <w:pPr>
        <w:pStyle w:val="Heading2"/>
      </w:pPr>
      <w:r>
        <w:t xml:space="preserve">Conclusion &amp; Recommendations</w:t>
      </w:r>
    </w:p>
    <w:p>
      <w:pPr>
        <w:pStyle w:val="FirstParagraph"/>
      </w:pPr>
      <w:r>
        <w:t xml:space="preserve">The transition to a primary care-led model in Tashkent is progressing but requires sustained investment. The Doctor General Practitioner is the cornerstone of this new system, yet they require robust support structures.</w:t>
      </w:r>
    </w:p>
    <w:bookmarkStart w:id="30" w:name="recommendations"/>
    <w:p>
      <w:pPr>
        <w:pStyle w:val="Heading3"/>
      </w:pPr>
      <w:r>
        <w:t xml:space="preserve">Recommendations:</w:t>
      </w:r>
    </w:p>
    <w:p>
      <w:pPr>
        <w:numPr>
          <w:ilvl w:val="0"/>
          <w:numId w:val="1003"/>
        </w:numPr>
        <w:pStyle w:val="Compact"/>
      </w:pPr>
      <w:r>
        <w:rPr>
          <w:bCs/>
          <w:b/>
        </w:rPr>
        <w:t xml:space="preserve">Enhanced Training:</w:t>
      </w:r>
      <w:r>
        <w:t xml:space="preserve"> </w:t>
      </w:r>
      <w:r>
        <w:t xml:space="preserve">Implement continuous professional development programs focused on digital literacy and advanced diagnostic skills for GPs in Tashkent.</w:t>
      </w:r>
    </w:p>
    <w:p>
      <w:pPr>
        <w:numPr>
          <w:ilvl w:val="0"/>
          <w:numId w:val="1003"/>
        </w:numPr>
        <w:pStyle w:val="Compact"/>
      </w:pPr>
      <w:r>
        <w:rPr>
          <w:bCs/>
          <w:b/>
        </w:rPr>
        <w:t xml:space="preserve">Incentive Structures:</w:t>
      </w:r>
      <w:r>
        <w:t xml:space="preserve"> </w:t>
      </w:r>
      <w:r>
        <w:t xml:space="preserve">Reform salary structures to reward preventive care metrics rather than volume of patients seen, thereby encouraging thorough consultations.</w:t>
      </w:r>
    </w:p>
    <w:p>
      <w:pPr>
        <w:numPr>
          <w:ilvl w:val="0"/>
          <w:numId w:val="1003"/>
        </w:numPr>
        <w:pStyle w:val="Compact"/>
      </w:pPr>
      <w:r>
        <w:rPr>
          <w:bCs/>
          <w:b/>
        </w:rPr>
        <w:t xml:space="preserve">Patient Education:</w:t>
      </w:r>
      <w:r>
        <w:t xml:space="preserve"> </w:t>
      </w:r>
      <w:r>
        <w:t xml:space="preserve">Launch multi-channel campaigns in Uzbek and Russian languages to educate citizens on the benefits of seeing a general practitioner first.</w:t>
      </w:r>
    </w:p>
    <w:bookmarkEnd w:id="30"/>
    <w:bookmarkEnd w:id="31"/>
    <w:p>
      <w:pPr>
        <w:pStyle w:val="FirstParagraph"/>
      </w:pPr>
      <w:r>
        <w:rPr>
          <w:bCs/>
          <w:b/>
        </w:rPr>
        <w:t xml:space="preserve">Contact Information:</w:t>
      </w:r>
      <w:r>
        <w:br/>
      </w:r>
      <w:r>
        <w:t xml:space="preserve">[Your Name]</w:t>
      </w:r>
      <w:r>
        <w:br/>
      </w:r>
      <w:r>
        <w:t xml:space="preserve">Department of Public Health, Tashkent</w:t>
      </w:r>
      <w:r>
        <w:br/>
      </w:r>
      <w:r>
        <w:t xml:space="preserve">Email: contact@healthresearch.uz | Phone: +998 XX XXX XX XX</w:t>
      </w:r>
    </w:p>
    <w:p>
      <w:pPr>
        <w:pStyle w:val="BodyText"/>
      </w:pPr>
      <w:r>
        <w:t xml:space="preserve">© 2023 Academic Poster Presentation on General Practice in Uzbekistan.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General Practitioner in Uzbekistan</dc:title>
  <dc:creator/>
  <dc:language>en</dc:language>
  <cp:keywords/>
  <dcterms:created xsi:type="dcterms:W3CDTF">2026-07-29T14:32:18Z</dcterms:created>
  <dcterms:modified xsi:type="dcterms:W3CDTF">2026-07-29T14:32:18Z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