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Economic</w:t>
      </w:r>
      <w:r>
        <w:t xml:space="preserve"> </w:t>
      </w:r>
      <w:r>
        <w:t xml:space="preserve">Analysis</w:t>
      </w:r>
      <w:r>
        <w:t xml:space="preserve"> </w:t>
      </w:r>
      <w:r>
        <w:t xml:space="preserve">and</w:t>
      </w:r>
      <w:r>
        <w:t xml:space="preserve"> </w:t>
      </w:r>
      <w:r>
        <w:t xml:space="preserve">Policy</w:t>
      </w:r>
      <w:r>
        <w:t xml:space="preserve"> </w:t>
      </w:r>
      <w:r>
        <w:t xml:space="preserve">Implications</w:t>
      </w:r>
      <w:r>
        <w:t xml:space="preserve"> </w:t>
      </w:r>
      <w:r>
        <w:t xml:space="preserve">in</w:t>
      </w:r>
      <w:r>
        <w:t xml:space="preserve"> </w:t>
      </w:r>
      <w:r>
        <w:t xml:space="preserve">a</w:t>
      </w:r>
      <w:r>
        <w:t xml:space="preserve"> </w:t>
      </w:r>
      <w:r>
        <w:t xml:space="preserve">Globalized</w:t>
      </w:r>
      <w:r>
        <w:t xml:space="preserve"> </w:t>
      </w:r>
      <w:r>
        <w:t xml:space="preserve">Context:</w:t>
      </w:r>
      <w:r>
        <w:t xml:space="preserve"> </w:t>
      </w:r>
      <w:r>
        <w:t xml:space="preserve">A</w:t>
      </w:r>
      <w:r>
        <w:t xml:space="preserve"> </w:t>
      </w:r>
      <w:r>
        <w:t xml:space="preserve">Poster</w:t>
      </w:r>
      <w:r>
        <w:t xml:space="preserve"> </w:t>
      </w:r>
      <w:r>
        <w:t xml:space="preserve">Presentation</w:t>
      </w:r>
      <w:r>
        <w:t xml:space="preserve"> </w:t>
      </w:r>
      <w:r>
        <w:t xml:space="preserve">for</w:t>
      </w:r>
      <w:r>
        <w:t xml:space="preserve"> </w:t>
      </w:r>
      <w:r>
        <w:t xml:space="preserve">Academic</w:t>
      </w:r>
      <w:r>
        <w:t xml:space="preserve"> </w:t>
      </w:r>
      <w:r>
        <w:t xml:space="preserve">Review</w:t>
      </w:r>
    </w:p>
    <w:bookmarkStart w:id="29" w:name="Xff2458b2a2d863dd350cc23b54d3a18f2e43b8f"/>
    <w:p>
      <w:pPr>
        <w:pStyle w:val="Heading1"/>
      </w:pPr>
      <w:r>
        <w:t xml:space="preserve">Economic Analysis and Policy Implications in a Globalized Context</w:t>
      </w:r>
    </w:p>
    <w:p>
      <w:pPr>
        <w:pStyle w:val="FirstParagraph"/>
      </w:pPr>
      <w:r>
        <w:t xml:space="preserve">Presented at the Canadian Economic Association Annual Conference, Toronto, Canada | October 2023</w:t>
      </w:r>
      <w:r>
        <w:br/>
      </w:r>
      <w:r>
        <w:t xml:space="preserve">Dr. Eleanor Vance &amp; Dr. James Li</w:t>
      </w:r>
    </w:p>
    <w:bookmarkStart w:id="20" w:name="abstract"/>
    <w:p>
      <w:pPr>
        <w:pStyle w:val="Heading2"/>
      </w:pPr>
      <w:r>
        <w:t xml:space="preserve">Abstract</w:t>
      </w:r>
    </w:p>
    <w:p>
      <w:pPr>
        <w:pStyle w:val="FirstParagraph"/>
      </w:pPr>
      <w:r>
        <w:t xml:space="preserve">This poster presentation aims to provide a comprehensive examination of contemporary macroeconomic trends affecting developed nations, with specific focus on fiscal policy effectiveness within North American markets. The core thesis posits that modern economic modeling must integrate dynamic stochastic general equilibrium (DSGE) frameworks with real-time data analytics to accurately forecast inflationary pressures and labor market shifts. By synthesizing recent empirical studies from</w:t>
      </w:r>
      <w:r>
        <w:t xml:space="preserve"> </w:t>
      </w:r>
      <w:r>
        <w:rPr>
          <w:bCs/>
          <w:b/>
        </w:rPr>
        <w:t xml:space="preserve">Economist</w:t>
      </w:r>
      <w:r>
        <w:t xml:space="preserve"> </w:t>
      </w:r>
      <w:r>
        <w:t xml:space="preserve">journals and primary data sources, this research offers actionable insights for policymakers navigating post-pandemic recovery phases in high-income economies.</w:t>
      </w:r>
    </w:p>
    <w:p>
      <w:pPr>
        <w:pStyle w:val="BodyText"/>
      </w:pPr>
      <w:r>
        <w:t xml:space="preserve">The methodology involves a comparative analysis of monetary policy transmission mechanisms across G7 nations. Special attention is given to the resilience of supply chains and the evolving nature of consumer confidence indices. The findings suggest that coordinated fiscal stimulus, when paired with targeted regulatory reforms, yields superior outcomes compared to isolated interventions. This academic exploration serves as a critical resource for scholars and practitioners interested in understanding the intricate dynamics shaping global financial systems today.</w:t>
      </w:r>
    </w:p>
    <w:bookmarkEnd w:id="20"/>
    <w:bookmarkStart w:id="21" w:name="introduction"/>
    <w:p>
      <w:pPr>
        <w:pStyle w:val="Heading2"/>
      </w:pPr>
      <w:r>
        <w:t xml:space="preserve">Introduction</w:t>
      </w:r>
    </w:p>
    <w:p>
      <w:pPr>
        <w:pStyle w:val="FirstParagraph"/>
      </w:pPr>
      <w:r>
        <w:t xml:space="preserve">In an era characterized by rapid technological advancement and shifting geopolitical landscapes, the role of rigorous economic analysis has never been more critical. As we navigate the complexities of a globalized economy, understanding the nuances of fiscal policy, monetary regulation, and international trade becomes paramount for sustained growth. This presentation introduces a novel approach to evaluating these variables through a lens that combines traditional economic theory with modern data science techniques.</w:t>
      </w:r>
    </w:p>
    <w:p>
      <w:pPr>
        <w:pStyle w:val="BodyText"/>
      </w:pPr>
      <w:r>
        <w:t xml:space="preserve">The primary objective is to bridge the gap between theoretical models and practical application. By examining case studies from diverse regions, we aim to highlight universal principles while acknowledging regional specificities. The discussion will delve into the impact of interest rate adjustments on housing markets, the role of government spending in stimulating innovation, and the long-term effects of demographic shifts on pension systems. Through this multifaceted analysis, we seek to contribute valuable knowledge to the ongoing discourse within our field.</w:t>
      </w:r>
    </w:p>
    <w:bookmarkEnd w:id="21"/>
    <w:bookmarkStart w:id="22" w:name="literature-review"/>
    <w:p>
      <w:pPr>
        <w:pStyle w:val="Heading2"/>
      </w:pPr>
      <w:r>
        <w:t xml:space="preserve">Literature Review</w:t>
      </w:r>
    </w:p>
    <w:p>
      <w:pPr>
        <w:pStyle w:val="FirstParagraph"/>
      </w:pPr>
      <w:r>
        <w:t xml:space="preserve">The foundation of our research rests upon a robust body of existing literature. We draw heavily from seminal works by Keynesian and Neoclassical scholars, updating their frameworks to account for digital economy realities. Recent publications in leading economic journals have emphasized the importance of structural breaks in time-series data, prompting us to adopt more flexible modeling techniques.</w:t>
      </w:r>
    </w:p>
    <w:p>
      <w:pPr>
        <w:pStyle w:val="BodyText"/>
      </w:pPr>
      <w:r>
        <w:t xml:space="preserve">Furthermore, we review contemporary debates regarding income inequality and its macroeconomic consequences. Studies indicate that widening wealth gaps can stifle aggregate demand and hinder sustainable development. Our literature synthesis identifies key themes such as the effectiveness of progressive taxation, the role of education in human capital accumulation, and the impact of automation on employment patterns. These insights inform our hypotheses regarding optimal policy design.</w:t>
      </w:r>
    </w:p>
    <w:bookmarkEnd w:id="22"/>
    <w:bookmarkStart w:id="23" w:name="methodology"/>
    <w:p>
      <w:pPr>
        <w:pStyle w:val="Heading2"/>
      </w:pPr>
      <w:r>
        <w:t xml:space="preserve">Methodology</w:t>
      </w:r>
    </w:p>
    <w:p>
      <w:pPr>
        <w:pStyle w:val="FirstParagraph"/>
      </w:pPr>
      <w:r>
        <w:t xml:space="preserve">To ensure empirical rigor, we employ a mixed-methods approach. Quantitative analysis is conducted using panel data regression models to assess the relationship between fiscal multipliers and economic growth rates across multiple sectors. The dataset spans the last two decades, covering both pre- and post-financial crisis periods to capture structural changes in economic behavior.</w:t>
      </w:r>
    </w:p>
    <w:p>
      <w:pPr>
        <w:pStyle w:val="BodyText"/>
      </w:pPr>
      <w:r>
        <w:t xml:space="preserve">Qualitative insights are gathered through semi-structured interviews with industry experts, central bank officials, and academic researchers. These perspectives provide context for interpreting statistical results and highlight potential non-linearities not captured by standard models. Data validation procedures include sensitivity analyses and robustness checks to confirm the reliability of our findings.</w:t>
      </w:r>
    </w:p>
    <w:bookmarkEnd w:id="23"/>
    <w:bookmarkStart w:id="24" w:name="results"/>
    <w:p>
      <w:pPr>
        <w:pStyle w:val="Heading2"/>
      </w:pPr>
      <w:r>
        <w:t xml:space="preserve">Results</w:t>
      </w:r>
    </w:p>
    <w:p>
      <w:pPr>
        <w:pStyle w:val="FirstParagraph"/>
      </w:pPr>
      <w:r>
        <w:t xml:space="preserve">Preliminary results indicate a significant correlation between targeted infrastructure spending and long-term productivity gains. Specifically, investments in digital connectivity and renewable energy projects demonstrate higher returns on investment compared to traditional construction initiatives. Additionally, our models predict that moderate inflation targets (around 2%) are optimal for maintaining price stability without stifling growth.</w:t>
      </w:r>
    </w:p>
    <w:p>
      <w:pPr>
        <w:pStyle w:val="BodyText"/>
      </w:pPr>
      <w:r>
        <w:t xml:space="preserve">The analysis also reveals distinct regional disparities in policy effectiveness. While monetary tightening appears effective in cooling overheated housing markets, it may inadvertently exacerbate unemployment rates in manufacturing-heavy regions. These findings underscore the need for tailored policy responses that account for local economic conditions and structural characteristics.</w:t>
      </w:r>
    </w:p>
    <w:bookmarkEnd w:id="24"/>
    <w:bookmarkStart w:id="25" w:name="discussion"/>
    <w:p>
      <w:pPr>
        <w:pStyle w:val="Heading2"/>
      </w:pPr>
      <w:r>
        <w:t xml:space="preserve">Discussion</w:t>
      </w:r>
    </w:p>
    <w:p>
      <w:pPr>
        <w:pStyle w:val="FirstParagraph"/>
      </w:pPr>
      <w:r>
        <w:t xml:space="preserve">The implications of our findings extend beyond academic interest. They offer practical guidance for policymakers seeking to balance competing priorities such as growth, stability, and equity. The observed sensitivity of certain sectors to interest rate changes suggests that communication strategies by central banks play a crucial role in managing market expectations.</w:t>
      </w:r>
    </w:p>
    <w:p>
      <w:pPr>
        <w:pStyle w:val="BodyText"/>
      </w:pPr>
      <w:r>
        <w:t xml:space="preserve">Moreover, the emphasis on structural reforms highlights the importance of addressing underlying inefficiencies rather than merely treating symptoms. For instance, improving labor market flexibility through retraining programs could mitigate displacement effects associated with technological change. This aligns with broader calls for proactive governance that anticipates future challenges rather than reacting to them.</w:t>
      </w:r>
    </w:p>
    <w:bookmarkEnd w:id="25"/>
    <w:bookmarkStart w:id="26" w:name="conclusion"/>
    <w:p>
      <w:pPr>
        <w:pStyle w:val="Heading2"/>
      </w:pPr>
      <w:r>
        <w:t xml:space="preserve">Conclusion</w:t>
      </w:r>
    </w:p>
    <w:p>
      <w:pPr>
        <w:pStyle w:val="FirstParagraph"/>
      </w:pPr>
      <w:r>
        <w:t xml:space="preserve">In conclusion, this presentation underscores the necessity of integrating diverse analytical tools to address complex economic issues. Our research contributes new evidence regarding the efficacy of fiscal interventions and highlights areas requiring further investigation. As we look toward the future, continuous monitoring of emerging trends will be essential for refining our understanding and enhancing policy effectiveness.</w:t>
      </w:r>
    </w:p>
    <w:p>
      <w:pPr>
        <w:pStyle w:val="BodyText"/>
      </w:pPr>
      <w:r>
        <w:t xml:space="preserve">We invite fellow academics, students, and practitioners to engage with these findings, offering feedback that can help shape subsequent studies. Ultimately, collaborative efforts are vital for advancing knowledge in economics and ensuring informed decision-making processes globally.</w:t>
      </w:r>
    </w:p>
    <w:bookmarkEnd w:id="26"/>
    <w:bookmarkStart w:id="27" w:name="acknowledgments"/>
    <w:p>
      <w:pPr>
        <w:pStyle w:val="Heading2"/>
      </w:pPr>
      <w:r>
        <w:t xml:space="preserve">Acknowledgments</w:t>
      </w:r>
    </w:p>
    <w:p>
      <w:pPr>
        <w:pStyle w:val="FirstParagraph"/>
      </w:pPr>
      <w:r>
        <w:t xml:space="preserve">We gratefully acknowledge the support received from our respective institutions, including funding provided by the Social Sciences and Humanities Research Council (SSHRC). Special thanks go to our colleagues who participated in data collection and review processes.</w:t>
      </w:r>
    </w:p>
    <w:bookmarkEnd w:id="27"/>
    <w:bookmarkStart w:id="28" w:name="references"/>
    <w:p>
      <w:pPr>
        <w:pStyle w:val="Heading2"/>
      </w:pPr>
      <w:r>
        <w:t xml:space="preserve">References</w:t>
      </w:r>
    </w:p>
    <w:p>
      <w:pPr>
        <w:numPr>
          <w:ilvl w:val="0"/>
          <w:numId w:val="1001"/>
        </w:numPr>
        <w:pStyle w:val="Compact"/>
      </w:pPr>
      <w:r>
        <w:t xml:space="preserve">Bernanke, B. S., &amp; Blinder, A. S. (1992). The Federal Funds Rate and the Channels of Monetary Transmission. American Economic Review.</w:t>
      </w:r>
    </w:p>
    <w:p>
      <w:pPr>
        <w:numPr>
          <w:ilvl w:val="0"/>
          <w:numId w:val="1001"/>
        </w:numPr>
        <w:pStyle w:val="Compact"/>
      </w:pPr>
      <w:r>
        <w:t xml:space="preserve">Keynes, J. M., &amp; Keynesians on Policy Models (1936). The General Theory of Employment, Interest and Money.</w:t>
      </w:r>
    </w:p>
    <w:p>
      <w:pPr>
        <w:numPr>
          <w:ilvl w:val="0"/>
          <w:numId w:val="1001"/>
        </w:numPr>
        <w:pStyle w:val="Compact"/>
      </w:pPr>
      <w:r>
        <w:t xml:space="preserve">Romer, C. D., &amp; Romer, D. H. (2010). The Macroeconomic Effects of Tax Changes: Estimates Based on a New Measure of Fiscal Shocks. American Economic Review.</w:t>
      </w:r>
    </w:p>
    <w:p>
      <w:pPr>
        <w:numPr>
          <w:ilvl w:val="0"/>
          <w:numId w:val="1001"/>
        </w:numPr>
        <w:pStyle w:val="Compact"/>
      </w:pPr>
      <w:r>
        <w:t xml:space="preserve">Stiglitz, J. E., &amp; Weiss, A.(1981). Credit Rationing in Markets with Imperfect Information. American Economic Review.</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Economic Analysis and Policy Implications in a Globalized Context: A Poster Presentation for Academic Review</dc:title>
  <dc:creator/>
  <dc:language>en</dc:language>
  <cp:keywords/>
  <dcterms:created xsi:type="dcterms:W3CDTF">2026-07-29T08:05:00Z</dcterms:created>
  <dcterms:modified xsi:type="dcterms:W3CDTF">2026-07-29T08:05:00Z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