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Perspectives:</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the</w:t>
      </w:r>
      <w:r>
        <w:t xml:space="preserve"> </w:t>
      </w:r>
      <w:r>
        <w:t xml:space="preserve">Colombian</w:t>
      </w:r>
      <w:r>
        <w:t xml:space="preserve"> </w:t>
      </w:r>
      <w:r>
        <w:t xml:space="preserve">Context</w:t>
      </w:r>
    </w:p>
    <w:bookmarkStart w:id="20" w:name="X85d0f7e0ea20d3372de8fcdef83a9dd3a3aba10"/>
    <w:p>
      <w:pPr>
        <w:pStyle w:val="Heading1"/>
      </w:pPr>
      <w:r>
        <w:t xml:space="preserve">The Role of the Economist in Shaping Colombia Bogotá's Future</w:t>
      </w:r>
    </w:p>
    <w:p>
      <w:pPr>
        <w:pStyle w:val="FirstParagraph"/>
      </w:pPr>
      <w:r>
        <w:br/>
      </w:r>
      <w:r>
        <w:t xml:space="preserve">A Comprehensive Academic Poster Presentation on Urban Economic Policy, Fiscal Responsibility, and Sustainable Development in a Megacity Context.</w:t>
      </w:r>
    </w:p>
    <w:p>
      <w:pPr>
        <w:pStyle w:val="BodyText"/>
      </w:pPr>
      <w:r>
        <w:rPr>
          <w:bCs/>
          <w:b/>
        </w:rPr>
        <w:t xml:space="preserve">Presenter:</w:t>
      </w:r>
      <w:r>
        <w:t xml:space="preserve"> </w:t>
      </w:r>
      <w:r>
        <w:t xml:space="preserve">[Academic Name/Group]</w:t>
      </w:r>
    </w:p>
    <w:p>
      <w:pPr>
        <w:pStyle w:val="BodyText"/>
      </w:pPr>
      <w:r>
        <w:br/>
      </w:r>
    </w:p>
    <w:p>
      <w:pPr>
        <w:pStyle w:val="BodyText"/>
      </w:pPr>
      <w:r>
        <w:rPr>
          <w:bCs/>
          <w:b/>
        </w:rPr>
        <w:t xml:space="preserve">Institution:</w:t>
      </w:r>
      <w:r>
        <w:t xml:space="preserve"> </w:t>
      </w:r>
      <w:r>
        <w:t xml:space="preserve">Department of Economics &amp; Urban Studies</w:t>
      </w:r>
      <w:r>
        <w:br/>
      </w:r>
    </w:p>
    <w:bookmarkEnd w:id="20"/>
    <w:p>
      <w:r>
        <w:pict>
          <v:rect style="width:0;height:1.5pt" o:hralign="center" o:hrstd="t" o:hr="t"/>
        </w:pict>
      </w:r>
    </w:p>
    <w:p>
      <w:pPr>
        <w:pStyle w:val="FirstParagraph"/>
      </w:pPr>
      <w:r>
        <w:br/>
      </w:r>
    </w:p>
    <w:bookmarkStart w:id="22" w:name="introduction"/>
    <w:bookmarkStart w:id="21" w:name="introduction-the-bogotá-economic-paradox"/>
    <w:p>
      <w:pPr>
        <w:pStyle w:val="Heading2"/>
      </w:pPr>
      <w:r>
        <w:t xml:space="preserve">1. Introduction: The Bogotá Economic Paradox</w:t>
      </w:r>
    </w:p>
    <w:p>
      <w:pPr>
        <w:pStyle w:val="FirstParagraph"/>
      </w:pPr>
      <w:r>
        <w:t xml:space="preserve">The capital city of Colombia, Bogotá, presents a unique economic paradox that demands rigorous academic analysis and practical policy intervention. As one of the largest metropolitan areas in South America with over eight million inhabitants, Bogotá serves as the primary engine of national GDP production. However, it simultaneously grapples with profound structural inequalities, informal labor markets occupying nearly half of its workforce, and infrastructural deficits that hinder productivity.</w:t>
      </w:r>
    </w:p>
    <w:p>
      <w:pPr>
        <w:pStyle w:val="BodyText"/>
      </w:pPr>
      <w:r>
        <w:br/>
      </w:r>
    </w:p>
    <w:p>
      <w:pPr>
        <w:pStyle w:val="BodyText"/>
      </w:pPr>
      <w:r>
        <w:t xml:space="preserve">This poster presentation argues that the modern</w:t>
      </w:r>
      <w:r>
        <w:t xml:space="preserve"> </w:t>
      </w:r>
      <w:r>
        <w:rPr>
          <w:bCs/>
          <w:b/>
        </w:rPr>
        <w:t xml:space="preserve">Economist</w:t>
      </w:r>
      <w:r>
        <w:t xml:space="preserve"> </w:t>
      </w:r>
      <w:r>
        <w:t xml:space="preserve">in Colombia must transition from traditional macroeconomic forecasting to active urban planning consultancy. The specific context of Bogotá requires a nuanced understanding of local fiscal constraints, social dynamics, and geopolitical positioning. We posit that effective economic strategy in this region cannot be imported directly from Northern hemisphere models but must be adapted to the realities of a developing megacity striving for global competitiveness.</w:t>
      </w:r>
    </w:p>
    <w:bookmarkEnd w:id="21"/>
    <w:bookmarkEnd w:id="22"/>
    <w:p>
      <w:pPr>
        <w:pStyle w:val="BodyText"/>
      </w:pPr>
      <w:r>
        <w:br/>
      </w:r>
    </w:p>
    <w:bookmarkStart w:id="24" w:name="context"/>
    <w:bookmarkStart w:id="23" w:name="Xd30ae8aa0ed7ea54e14ef66a8c7c62fd4f1f82a"/>
    <w:p>
      <w:pPr>
        <w:pStyle w:val="Heading2"/>
      </w:pPr>
      <w:r>
        <w:t xml:space="preserve">2. Contextual Analysis: Economic Landscape of Colombia Bogotá</w:t>
      </w:r>
    </w:p>
    <w:p>
      <w:pPr>
        <w:pStyle w:val="FirstParagraph"/>
      </w:pPr>
      <w:r>
        <w:br/>
      </w:r>
      <w:r>
        <w:t xml:space="preserve">To understand the mandate of the economist in this setting, one must first analyze the distinct economic characteristics of Bogotá:</w:t>
      </w:r>
    </w:p>
    <w:p>
      <w:pPr>
        <w:pStyle w:val="BodyText"/>
      </w:pPr>
      <w:r>
        <w:br/>
      </w:r>
    </w:p>
    <w:p>
      <w:pPr>
        <w:numPr>
          <w:ilvl w:val="0"/>
          <w:numId w:val="1001"/>
        </w:numPr>
        <w:pStyle w:val="Compact"/>
      </w:pPr>
      <w:r>
        <w:rPr>
          <w:bCs/>
          <w:b/>
        </w:rPr>
        <w:t xml:space="preserve">Informality and Labor Markets:</w:t>
      </w:r>
      <w:r>
        <w:t xml:space="preserve"> </w:t>
      </w:r>
      <w:r>
        <w:t xml:space="preserve">A significant portion of economic activity in Colombia occurs outside formal regulatory frameworks. The economist must design policies that incentivize formalization without stifling small-scale entrepreneurship.</w:t>
      </w:r>
    </w:p>
    <w:p>
      <w:pPr>
        <w:numPr>
          <w:ilvl w:val="0"/>
          <w:numId w:val="1001"/>
        </w:numPr>
        <w:pStyle w:val="Compact"/>
      </w:pPr>
      <w:r>
        <w:rPr>
          <w:bCs/>
          <w:b/>
        </w:rPr>
        <w:t xml:space="preserve">Infrastructure and Connectivity:</w:t>
      </w:r>
      <w:r>
        <w:t xml:space="preserve"> </w:t>
      </w:r>
      <w:r>
        <w:t xml:space="preserve">Projects like the TransMilenio bus rapid transit system and the ongoing expansion of the Metro have immense economic implications. Economists are tasked with conducting cost-benefit analyses that extend beyond financial returns to include social welfare, reduced congestion costs, and environmental benefits.</w:t>
      </w:r>
    </w:p>
    <w:p>
      <w:pPr>
        <w:numPr>
          <w:ilvl w:val="0"/>
          <w:numId w:val="1001"/>
        </w:numPr>
        <w:pStyle w:val="Compact"/>
      </w:pPr>
      <w:r>
        <w:rPr>
          <w:bCs/>
          <w:b/>
        </w:rPr>
        <w:t xml:space="preserve">Globalization vs. Localization:</w:t>
      </w:r>
      <w:r>
        <w:t xml:space="preserve"> </w:t>
      </w:r>
      <w:r>
        <w:t xml:space="preserve">Bogotá is increasingly integrating into global value chains while simultaneously trying to preserve local cultural industries. The tension between foreign direct investment (FDI) attraction and protection of domestic markets requires delicate economic balancing.</w:t>
      </w:r>
    </w:p>
    <w:p>
      <w:pPr>
        <w:pStyle w:val="FirstParagraph"/>
      </w:pPr>
      <w:r>
        <w:br/>
      </w:r>
    </w:p>
    <w:p>
      <w:pPr>
        <w:pStyle w:val="BodyText"/>
      </w:pPr>
      <w:r>
        <w:t xml:space="preserve">The unique topography and urban sprawl of Colombia Bogotá create specific logistical costs that affect all sectors from logistics to education. Ignoring these geographical-economic factors leads to flawed policy recommendations.</w:t>
      </w:r>
    </w:p>
    <w:bookmarkEnd w:id="23"/>
    <w:bookmarkEnd w:id="24"/>
    <w:p>
      <w:pPr>
        <w:pStyle w:val="BodyText"/>
      </w:pPr>
      <w:r>
        <w:br/>
      </w:r>
    </w:p>
    <w:bookmarkStart w:id="26" w:name="competencies"/>
    <w:bookmarkStart w:id="25" w:name="X5b2c23a3d5f6cada8e49addd98ce94236839fe6"/>
    <w:p>
      <w:pPr>
        <w:pStyle w:val="Heading2"/>
      </w:pPr>
      <w:r>
        <w:t xml:space="preserve">3. The Modern Economist: Key Competencies for Bogotá</w:t>
      </w:r>
    </w:p>
    <w:p>
      <w:pPr>
        <w:pStyle w:val="FirstParagraph"/>
      </w:pPr>
      <w:r>
        <w:br/>
      </w:r>
      <w:r>
        <w:t xml:space="preserve">In the specific context of Colombia, the role of the economist has expanded. We identify three core competencies required:</w:t>
      </w:r>
    </w:p>
    <w:p>
      <w:pPr>
        <w:pStyle w:val="BodyText"/>
      </w:pPr>
      <w:r>
        <w:br/>
      </w:r>
    </w:p>
    <w:p>
      <w:pPr>
        <w:numPr>
          <w:ilvl w:val="0"/>
          <w:numId w:val="1002"/>
        </w:numPr>
        <w:pStyle w:val="Compact"/>
      </w:pPr>
      <w:r>
        <w:rPr>
          <w:bCs/>
          <w:b/>
        </w:rPr>
        <w:t xml:space="preserve">Data-Driven Urban Planning:</w:t>
      </w:r>
      <w:r>
        <w:t xml:space="preserve"> </w:t>
      </w:r>
      <w:r>
        <w:t xml:space="preserve">With big data becoming increasingly available through digital tax records and mobile phone usage patterns, economists must utilize these tools to map informal economies and optimize service delivery in underserved areas of Bogotá.</w:t>
      </w:r>
    </w:p>
    <w:p>
      <w:pPr>
        <w:numPr>
          <w:ilvl w:val="0"/>
          <w:numId w:val="1002"/>
        </w:numPr>
      </w:pPr>
      <w:r>
        <w:t xml:space="preserve">Fiscal Federalism Expertise:</w:t>
      </w:r>
    </w:p>
    <w:p>
      <w:pPr>
        <w:numPr>
          <w:ilvl w:val="0"/>
          <w:numId w:val="1000"/>
        </w:numPr>
      </w:pPr>
      <w:r>
        <w:br/>
      </w:r>
    </w:p>
    <w:p>
      <w:pPr>
        <w:numPr>
          <w:ilvl w:val="0"/>
          <w:numId w:val="1000"/>
        </w:numPr>
      </w:pPr>
      <w:r>
        <w:t xml:space="preserve">Colombia’s system of fiscal transfer from the national government to localities is complex. Economists working in Bogotá must be experts in navigating these regulations to maximize resource allocation for public goods such as health and education.</w:t>
      </w:r>
    </w:p>
    <w:p>
      <w:pPr>
        <w:numPr>
          <w:ilvl w:val="0"/>
          <w:numId w:val="1002"/>
        </w:numPr>
        <w:pStyle w:val="Compact"/>
      </w:pPr>
      <w:r>
        <w:rPr>
          <w:bCs/>
          <w:b/>
        </w:rPr>
        <w:t xml:space="preserve">Social Impact Assessment:</w:t>
      </w:r>
      <w:r>
        <w:t xml:space="preserve"> </w:t>
      </w:r>
      <w:r>
        <w:t xml:space="preserve">Given the historical inequality in Colombia, every economic policy proposal must undergo rigorous social impact assessment. An economist who ignores Gini coefficient implications or poverty line thresholds is failing their professional duty.</w:t>
      </w:r>
    </w:p>
    <w:p>
      <w:pPr>
        <w:pStyle w:val="FirstParagraph"/>
      </w:pPr>
      <w:r>
        <w:br/>
      </w:r>
    </w:p>
    <w:bookmarkEnd w:id="25"/>
    <w:bookmarkEnd w:id="26"/>
    <w:p>
      <w:pPr>
        <w:pStyle w:val="BodyText"/>
      </w:pPr>
      <w:r>
        <w:br/>
      </w:r>
    </w:p>
    <w:bookmarkStart w:id="28" w:name="case-studies"/>
    <w:bookmarkStart w:id="27" w:name="X05993b2dc965b25e40e398119d74c1268e6e4ae"/>
    <w:p>
      <w:pPr>
        <w:pStyle w:val="Heading2"/>
      </w:pPr>
      <w:r>
        <w:t xml:space="preserve">4. Case Study: The Economic Impact of the TransMilenio Expansion</w:t>
      </w:r>
    </w:p>
    <w:p>
      <w:pPr>
        <w:pStyle w:val="FirstParagraph"/>
      </w:pPr>
      <w:r>
        <w:br/>
      </w:r>
      <w:r>
        <w:t xml:space="preserve">To illustrate these principles, we present a case study on transportation economics in Bogotá. The TransMilenio system was designed to alleviate traffic congestion, which costs the city billions annually in lost productivity.</w:t>
      </w:r>
    </w:p>
    <w:p>
      <w:pPr>
        <w:pStyle w:val="BodyText"/>
      </w:pPr>
      <w:r>
        <w:br/>
      </w:r>
    </w:p>
    <w:p>
      <w:pPr>
        <w:pStyle w:val="BodyText"/>
      </w:pPr>
      <w:r>
        <w:t xml:space="preserve">Initial economic models focused solely on ride-time savings. However, a comprehensive analysis by local economists revealed that secondary effects—such as increased property values near stations and improved access to labor markets for low-income workers—were disproportionately higher than initial projections.</w:t>
      </w:r>
    </w:p>
    <w:p>
      <w:pPr>
        <w:pStyle w:val="BodyText"/>
      </w:pPr>
      <w:r>
        <w:br/>
      </w:r>
    </w:p>
    <w:p>
      <w:pPr>
        <w:pStyle w:val="BodyText"/>
      </w:pPr>
      <w:r>
        <w:t xml:space="preserve">This case demonstrates that the economist in Colombia must look beyond direct revenues. The integration of social equity metrics into standard cost-benefit analysis is crucial for long-term sustainability in Bogotá’s urban development.</w:t>
      </w:r>
    </w:p>
    <w:bookmarkEnd w:id="27"/>
    <w:bookmarkEnd w:id="28"/>
    <w:p>
      <w:pPr>
        <w:pStyle w:val="BodyText"/>
      </w:pPr>
      <w:r>
        <w:br/>
      </w:r>
    </w:p>
    <w:bookmarkStart w:id="30" w:name="challenges"/>
    <w:bookmarkStart w:id="29" w:name="X6259fc5a58cc41773df060f53623b39bd17f4ee"/>
    <w:p>
      <w:pPr>
        <w:pStyle w:val="Heading2"/>
      </w:pPr>
      <w:r>
        <w:t xml:space="preserve">5. Current Challenges and Policy Recommendations</w:t>
      </w:r>
    </w:p>
    <w:p>
      <w:pPr>
        <w:pStyle w:val="FirstParagraph"/>
      </w:pPr>
      <w:r>
        <w:br/>
      </w:r>
      <w:r>
        <w:t xml:space="preserve">Despite progress, several challenges persist for economists advising policymakers in Colombia Bogotá:</w:t>
      </w:r>
    </w:p>
    <w:p>
      <w:pPr>
        <w:pStyle w:val="BodyText"/>
      </w:pPr>
      <w:r>
        <w:br/>
      </w:r>
    </w:p>
    <w:p>
      <w:pPr>
        <w:numPr>
          <w:ilvl w:val="0"/>
          <w:numId w:val="1003"/>
        </w:numPr>
        <w:pStyle w:val="Compact"/>
      </w:pPr>
      <w:r>
        <w:rPr>
          <w:bCs/>
          <w:b/>
        </w:rPr>
        <w:t xml:space="preserve">Political Instability:</w:t>
      </w:r>
      <w:r>
        <w:t xml:space="preserve"> </w:t>
      </w:r>
      <w:r>
        <w:t xml:space="preserve">Short-term political cycles often conflict with long-term economic planning.</w:t>
      </w:r>
    </w:p>
    <w:p>
      <w:pPr>
        <w:numPr>
          <w:ilvl w:val="0"/>
          <w:numId w:val="1003"/>
        </w:numPr>
        <w:pStyle w:val="Compact"/>
      </w:pPr>
      <w:r>
        <w:t xml:space="preserve">Talent Drain: Many top economic minds leave the country for opportunities abroad. Strengthening local academic institutions is vital.</w:t>
      </w:r>
    </w:p>
    <w:p>
      <w:pPr>
        <w:pStyle w:val="FirstParagraph"/>
      </w:pPr>
      <w:r>
        <w:t xml:space="preserve">We recommend three key actions:</w:t>
      </w:r>
    </w:p>
    <w:p>
      <w:pPr>
        <w:pStyle w:val="BodyText"/>
      </w:pPr>
      <w:r>
        <w:br/>
      </w:r>
    </w:p>
    <w:p>
      <w:pPr>
        <w:numPr>
          <w:ilvl w:val="0"/>
          <w:numId w:val="1004"/>
        </w:numPr>
        <w:pStyle w:val="Compact"/>
      </w:pPr>
      <w:r>
        <w:t xml:space="preserve">Establish a dedicated "Bogotá Economic Observatory" to provide real-time data to policymakers.</w:t>
      </w:r>
    </w:p>
    <w:p>
      <w:pPr>
        <w:pStyle w:val="FirstParagraph"/>
      </w:pPr>
      <w:r>
        <w:br/>
      </w:r>
    </w:p>
    <w:bookmarkEnd w:id="29"/>
    <w:bookmarkEnd w:id="30"/>
    <w:bookmarkStart w:id="31" w:name="conclusion"/>
    <w:p>
      <w:pPr>
        <w:pStyle w:val="Heading2"/>
      </w:pPr>
      <w:r>
        <w:t xml:space="preserve">6. Conclusion</w:t>
      </w:r>
    </w:p>
    <w:p>
      <w:pPr>
        <w:pStyle w:val="FirstParagraph"/>
      </w:pPr>
      <w:r>
        <w:br/>
      </w:r>
      <w:r>
        <w:t xml:space="preserve">The role of the economist in Colombia Bogotá is not merely to analyze numbers but to shape the lived experience of millions. By combining rigorous quantitative analysis with a deep sensitivity to social reality, economists can drive policies that foster inclusive growth.</w:t>
      </w:r>
    </w:p>
    <w:p>
      <w:pPr>
        <w:pStyle w:val="BodyText"/>
      </w:pPr>
      <w:r>
        <w:br/>
      </w:r>
    </w:p>
    <w:p>
      <w:pPr>
        <w:pStyle w:val="BodyText"/>
      </w:pPr>
      <w:r>
        <w:t xml:space="preserve">This poster presentation underscores that successful economic development in this region requires localized solutions. As Bogotá continues its journey toward becoming a sustainable and equitable global city, the economist remains at the forefront of this transformation, guiding decisions with precision and empathy.</w:t>
      </w:r>
    </w:p>
    <w:bookmarkEnd w:id="31"/>
    <w:p>
      <w:pPr>
        <w:pStyle w:val="BodyText"/>
      </w:pPr>
      <w:r>
        <w:br/>
      </w:r>
    </w:p>
    <w:bookmarkStart w:id="33" w:name="references"/>
    <w:bookmarkStart w:id="32" w:name="selected-references"/>
    <w:p>
      <w:pPr>
        <w:pStyle w:val="Heading2"/>
      </w:pPr>
      <w:r>
        <w:t xml:space="preserve">7. Selected References</w:t>
      </w:r>
    </w:p>
    <w:p>
      <w:pPr>
        <w:pStyle w:val="FirstParagraph"/>
      </w:pPr>
      <w:r>
        <w:br/>
      </w:r>
    </w:p>
    <w:p>
      <w:pPr>
        <w:numPr>
          <w:ilvl w:val="0"/>
          <w:numId w:val="1005"/>
        </w:numPr>
        <w:pStyle w:val="Compact"/>
      </w:pPr>
      <w:r>
        <w:t xml:space="preserve">World Bank. (2023). "Colombia Economic Monitor: Recovering from Crisis."</w:t>
      </w:r>
    </w:p>
    <w:p>
      <w:pPr>
        <w:numPr>
          <w:ilvl w:val="0"/>
          <w:numId w:val="1005"/>
        </w:numPr>
        <w:pStyle w:val="Compact"/>
      </w:pPr>
      <w:r>
        <w:t xml:space="preserve">DANE (Departamento Administrativo Nacional de Estadística). Annual Reports on Bogota’s Labor Market.</w:t>
      </w:r>
    </w:p>
    <w:p>
      <w:pPr>
        <w:pStyle w:val="FirstParagraph"/>
      </w:pPr>
      <w:r>
        <w:rPr>
          <w:bCs/>
          <w:b/>
        </w:rPr>
        <w:t xml:space="preserve">Contact:</w:t>
      </w:r>
      <w:r>
        <w:t xml:space="preserve"> </w:t>
      </w:r>
      <w:r>
        <w:t xml:space="preserve">[Insert Email Address]</w:t>
      </w:r>
      <w:r>
        <w:br/>
      </w:r>
      <w:r>
        <w:rPr>
          <w:bCs/>
          <w:b/>
        </w:rPr>
        <w:t xml:space="preserve">Affiliation:</w:t>
      </w:r>
      <w:r>
        <w:t xml:space="preserve"> </w:t>
      </w:r>
      <w:r>
        <w:t xml:space="preserve">University of the Andes / Bogotá City Planning Secretariat</w:t>
      </w:r>
    </w:p>
    <w:bookmarkEnd w:id="32"/>
    <w:bookmarkEnd w:id="33"/>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Perspectives: A Poster Presentation for the Colombian Context</dc:title>
  <dc:creator/>
  <dc:language>en</dc:language>
  <cp:keywords/>
  <dcterms:created xsi:type="dcterms:W3CDTF">2026-07-29T17:21:12Z</dcterms:created>
  <dcterms:modified xsi:type="dcterms:W3CDTF">2026-07-29T17:21:12Z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