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Perspectives</w:t>
      </w:r>
      <w:r>
        <w:t xml:space="preserve"> </w:t>
      </w:r>
      <w:r>
        <w:t xml:space="preserve">in</w:t>
      </w:r>
      <w:r>
        <w:t xml:space="preserve"> </w:t>
      </w:r>
      <w:r>
        <w:t xml:space="preserve">Kuwait:</w:t>
      </w:r>
      <w:r>
        <w:t xml:space="preserve"> </w:t>
      </w:r>
      <w:r>
        <w:t xml:space="preserve">A</w:t>
      </w:r>
      <w:r>
        <w:t xml:space="preserve"> </w:t>
      </w:r>
      <w:r>
        <w:t xml:space="preserve">Poster</w:t>
      </w:r>
      <w:r>
        <w:t xml:space="preserve"> </w:t>
      </w:r>
      <w:r>
        <w:t xml:space="preserve">Presentation</w:t>
      </w:r>
    </w:p>
    <w:bookmarkStart w:id="20" w:name="X9284c9b5b3514af554ff704d1bf29c8c5fba3eb"/>
    <w:p>
      <w:pPr>
        <w:pStyle w:val="Heading1"/>
      </w:pPr>
      <w:r>
        <w:t xml:space="preserve">Economic Resilience and Diversification Strategies in Kuwait City: An Economist’s Perspective</w:t>
      </w:r>
    </w:p>
    <w:p>
      <w:pPr>
        <w:pStyle w:val="FirstParagraph"/>
      </w:pPr>
      <w:r>
        <w:rPr>
          <w:bCs/>
          <w:b/>
        </w:rPr>
        <w:t xml:space="preserve">A Poster Presentation for Academic and Policy Stakeholders in Kuwait City</w:t>
      </w:r>
    </w:p>
    <w:bookmarkEnd w:id="20"/>
    <w:bookmarkStart w:id="21" w:name="abstract"/>
    <w:p>
      <w:pPr>
        <w:pStyle w:val="Heading2"/>
      </w:pPr>
      <w:r>
        <w:t xml:space="preserve">Abstract</w:t>
      </w:r>
    </w:p>
    <w:p>
      <w:pPr>
        <w:pStyle w:val="FirstParagraph"/>
      </w:pPr>
      <w:r>
        <w:t xml:space="preserve">This poster presentation explores the complex economic dynamics shaping Kuwait City, focusing on the urgent necessity for structural diversification beyond hydrocarbon revenues. As a central hub in the Middle East, Kuwait City serves as both an economic engine and a symbol of national identity. This analysis adopts an Economist framework to evaluate current fiscal policies, emerging market trends, and potential pathways for sustainable growth. We argue that while oil wealth has provided stability, it has also created structural rigidities that hinder private sector development. By examining case studies from other Gulf Cooperation Council (GCC) nations and analyzing local data from Kuwait City’s commercial districts, this document proposes a roadmap for integrating digital economies, enhancing financial services, and fostering public-private partnerships. The ultimate goal is to present actionable insights that can guide policymakers in Kuwait City toward a more resilient and diversified economic future.</w:t>
      </w:r>
    </w:p>
    <w:bookmarkEnd w:id="21"/>
    <w:bookmarkStart w:id="22" w:name="introduction-the-context-of-kuwait-city"/>
    <w:p>
      <w:pPr>
        <w:pStyle w:val="Heading2"/>
      </w:pPr>
      <w:r>
        <w:t xml:space="preserve">Introduction: The Context of Kuwait City</w:t>
      </w:r>
    </w:p>
    <w:p>
      <w:pPr>
        <w:pStyle w:val="FirstParagraph"/>
      </w:pPr>
      <w:r>
        <w:t xml:space="preserve">Kuwait City stands at a critical juncture in its economic history. Historically, the nation’s prosperity has been inextricably linked to oil exports, which constitute a significant portion of the Gross Domestic Product (GDP) and government revenue. However, recent fluctuations in global energy markets have exposed vulnerabilities within this reliance. For an Economist analyzing the region, Kuwait City represents a unique laboratory for studying rentier state dynamics amidst global economic shifts.</w:t>
      </w:r>
    </w:p>
    <w:p>
      <w:pPr>
        <w:pStyle w:val="BodyText"/>
      </w:pPr>
      <w:r>
        <w:t xml:space="preserve">The urban landscape of Kuwait City reflects this economic duality. It is a modern metropolis with ambitious infrastructure projects yet faces challenges related to bureaucratic inefficiencies and limited private sector participation. This poster aims to dissect these issues, providing a comprehensive view of how macroeconomic policies impact daily economic activities in the capital city.</w:t>
      </w:r>
    </w:p>
    <w:bookmarkEnd w:id="22"/>
    <w:bookmarkStart w:id="24" w:name="current-economic-landscape"/>
    <w:p>
      <w:pPr>
        <w:pStyle w:val="Heading2"/>
      </w:pPr>
      <w:r>
        <w:t xml:space="preserve">Current Economic Landscape</w:t>
      </w:r>
    </w:p>
    <w:p>
      <w:pPr>
        <w:pStyle w:val="FirstParagraph"/>
      </w:pPr>
      <w:r>
        <w:t xml:space="preserve">The economic indicators in Kuwait City present a mixed picture. On one hand, the Sovereign Wealth Fund remains robust, providing a buffer against external shocks. On the other hand, inflation pressures and youth unemployment rates highlight underlying structural weaknesses.</w:t>
      </w:r>
    </w:p>
    <w:bookmarkStart w:id="23" w:name="key-economic-indicators-in-kuwait-city"/>
    <w:p>
      <w:pPr>
        <w:pStyle w:val="Heading3"/>
      </w:pPr>
      <w:r>
        <w:t xml:space="preserve">Key Economic Indicators in Kuwait City</w:t>
      </w:r>
    </w:p>
    <w:p>
      <w:pPr>
        <w:numPr>
          <w:ilvl w:val="0"/>
          <w:numId w:val="1001"/>
        </w:numPr>
        <w:pStyle w:val="Compact"/>
      </w:pPr>
      <w:r>
        <w:rPr>
          <w:bCs/>
          <w:b/>
        </w:rPr>
        <w:t xml:space="preserve">Oil Dependency:</w:t>
      </w:r>
      <w:r>
        <w:t xml:space="preserve"> </w:t>
      </w:r>
      <w:r>
        <w:t xml:space="preserve">Despite diversification efforts, over 90% of export earnings still originate from the oil sector.</w:t>
      </w:r>
    </w:p>
    <w:p>
      <w:pPr>
        <w:numPr>
          <w:ilvl w:val="0"/>
          <w:numId w:val="1001"/>
        </w:numPr>
        <w:pStyle w:val="Compact"/>
      </w:pPr>
      <w:r>
        <w:rPr>
          <w:bCs/>
          <w:b/>
        </w:rPr>
        <w:t xml:space="preserve">Fiscal Balance:</w:t>
      </w:r>
      <w:r>
        <w:t xml:space="preserve"> </w:t>
      </w:r>
      <w:r>
        <w:t xml:space="preserve">The government budget remains sensitive to Brent crude price fluctuations, necessitating careful fiscal planning.</w:t>
      </w:r>
    </w:p>
    <w:p>
      <w:pPr>
        <w:numPr>
          <w:ilvl w:val="0"/>
          <w:numId w:val="1001"/>
        </w:numPr>
        <w:pStyle w:val="Compact"/>
      </w:pPr>
      <w:r>
        <w:rPr>
          <w:bCs/>
          <w:b/>
        </w:rPr>
        <w:t xml:space="preserve">Private Sector Growth:</w:t>
      </w:r>
      <w:r>
        <w:t xml:space="preserve"> </w:t>
      </w:r>
      <w:r>
        <w:t xml:space="preserve">Slow growth in non-oil sectors indicates a need for regulatory reforms to encourage foreign and domestic investment.</w:t>
      </w:r>
    </w:p>
    <w:p>
      <w:pPr>
        <w:numPr>
          <w:ilvl w:val="0"/>
          <w:numId w:val="1001"/>
        </w:numPr>
        <w:pStyle w:val="Compact"/>
      </w:pPr>
      <w:r>
        <w:rPr>
          <w:bCs/>
          <w:b/>
        </w:rPr>
        <w:t xml:space="preserve">Digital Economy Potential:</w:t>
      </w:r>
    </w:p>
    <w:bookmarkEnd w:id="23"/>
    <w:p>
      <w:pPr>
        <w:pStyle w:val="FirstParagraph"/>
      </w:pPr>
      <w:r>
        <w:t xml:space="preserve">An Economist must consider not just the raw numbers but also the institutional framework. The legislative process in Kuwait can be slow, affecting the timely implementation of economic reforms. This political economy aspect is crucial for understanding why certain policies succeed or fail in implementing diversification strategies effectively.</w:t>
      </w:r>
    </w:p>
    <w:bookmarkEnd w:id="24"/>
    <w:bookmarkStart w:id="26" w:name="the-imperative-for-diversification"/>
    <w:p>
      <w:pPr>
        <w:pStyle w:val="Heading2"/>
      </w:pPr>
      <w:r>
        <w:t xml:space="preserve">The Imperative for Diversification</w:t>
      </w:r>
    </w:p>
    <w:p>
      <w:pPr>
        <w:pStyle w:val="FirstParagraph"/>
      </w:pPr>
      <w:r>
        <w:t xml:space="preserve">Diversification is not merely a buzzword but an economic imperative for Kuwait City. Relying solely on oil exposes the economy to volatile global demand and long-term structural decline as the world transitions toward renewable energy sources. The Economist perspective emphasizes efficiency, innovation, and market-driven growth.</w:t>
      </w:r>
    </w:p>
    <w:bookmarkStart w:id="25" w:name="sectors-of-opportunity"/>
    <w:p>
      <w:pPr>
        <w:pStyle w:val="Heading3"/>
      </w:pPr>
      <w:r>
        <w:t xml:space="preserve">Sectors of Opportunity</w:t>
      </w:r>
    </w:p>
    <w:p>
      <w:pPr>
        <w:pStyle w:val="FirstParagraph"/>
      </w:pPr>
      <w:r>
        <w:t xml:space="preserve">To achieve true diversification, Kuwait City must focus on high-value-added sectors:</w:t>
      </w:r>
    </w:p>
    <w:p>
      <w:pPr>
        <w:numPr>
          <w:ilvl w:val="0"/>
          <w:numId w:val="1002"/>
        </w:numPr>
        <w:pStyle w:val="Compact"/>
      </w:pPr>
      <w:r>
        <w:rPr>
          <w:bCs/>
          <w:b/>
        </w:rPr>
        <w:t xml:space="preserve">Financial Services:</w:t>
      </w:r>
      <w:r>
        <w:t xml:space="preserve">Leveraging its geographical position and stable banking sector, Kuwait City can expand its role as a regional financial hub.</w:t>
      </w:r>
    </w:p>
    <w:p>
      <w:pPr>
        <w:numPr>
          <w:ilvl w:val="0"/>
          <w:numId w:val="1002"/>
        </w:numPr>
        <w:pStyle w:val="Compact"/>
      </w:pPr>
      <w:r>
        <w:rPr>
          <w:bCs/>
          <w:b/>
        </w:rPr>
        <w:t xml:space="preserve">Tourism and Hospitality:</w:t>
      </w:r>
      <w:r>
        <w:t xml:space="preserve">Cultural heritage sites and modern attractions in Kuwait City offer untapped potential for tourism revenue.</w:t>
      </w:r>
    </w:p>
    <w:p>
      <w:pPr>
        <w:numPr>
          <w:ilvl w:val="0"/>
          <w:numId w:val="1002"/>
        </w:numPr>
        <w:pStyle w:val="Compact"/>
      </w:pPr>
      <w:r>
        <w:rPr>
          <w:bCs/>
          <w:b/>
        </w:rPr>
        <w:t xml:space="preserve">Logistics and Trade:</w:t>
      </w:r>
      <w:r>
        <w:t xml:space="preserve">Investing in port infrastructure and free zones can enhance Kuwait’s role as a trade gateway between Asia, Europe, and Africa.</w:t>
      </w:r>
    </w:p>
    <w:bookmarkEnd w:id="25"/>
    <w:bookmarkEnd w:id="26"/>
    <w:bookmarkStart w:id="28" w:name="policy-recommendations"/>
    <w:p>
      <w:pPr>
        <w:pStyle w:val="Heading2"/>
      </w:pPr>
      <w:r>
        <w:t xml:space="preserve">Policy Recommendations</w:t>
      </w:r>
    </w:p>
    <w:p>
      <w:pPr>
        <w:numPr>
          <w:ilvl w:val="0"/>
          <w:numId w:val="1003"/>
        </w:numPr>
        <w:pStyle w:val="Compact"/>
      </w:pPr>
      <w:r>
        <w:rPr>
          <w:bCs/>
          <w:b/>
        </w:rPr>
        <w:t xml:space="preserve">Regulatory Reform:</w:t>
      </w:r>
    </w:p>
    <w:p>
      <w:pPr>
        <w:numPr>
          <w:ilvl w:val="0"/>
          <w:numId w:val="1003"/>
        </w:numPr>
        <w:pStyle w:val="Compact"/>
      </w:pPr>
      <w:r>
        <w:rPr>
          <w:bCs/>
          <w:b/>
        </w:rPr>
        <w:t xml:space="preserve">Educational Alignment:</w:t>
      </w:r>
    </w:p>
    <w:p>
      <w:pPr>
        <w:numPr>
          <w:ilvl w:val="0"/>
          <w:numId w:val="1003"/>
        </w:numPr>
        <w:pStyle w:val="Compact"/>
      </w:pPr>
      <w:r>
        <w:rPr>
          <w:bCs/>
          <w:b/>
        </w:rPr>
        <w:t xml:space="preserve">Incentives for Private Investment:</w:t>
      </w:r>
    </w:p>
    <w:p>
      <w:pPr>
        <w:numPr>
          <w:ilvl w:val="0"/>
          <w:numId w:val="1003"/>
        </w:numPr>
        <w:pStyle w:val="Compact"/>
      </w:pPr>
      <w:r>
        <w:rPr>
          <w:bCs/>
          <w:b/>
        </w:rPr>
        <w:t xml:space="preserve">Digital Infrastructure:</w:t>
      </w:r>
    </w:p>
    <w:bookmarkStart w:id="27" w:name="the-role-of-the-economist"/>
    <w:p>
      <w:pPr>
        <w:pStyle w:val="Heading3"/>
      </w:pPr>
      <w:r>
        <w:t xml:space="preserve">The Role of the Economist</w:t>
      </w:r>
    </w:p>
    <w:p>
      <w:pPr>
        <w:pStyle w:val="FirstParagraph"/>
      </w:pPr>
      <w:r>
        <w:t xml:space="preserve">Economists play a pivotal role in evaluating the impact of these policies. By using rigorous data analysis and modeling, they can predict outcomes and suggest adjustments. In Kuwait City, where data transparency is improving, there is an opportunity for economists to provide evidence-based advice that bridges the gap between political will and economic reality.</w:t>
      </w:r>
    </w:p>
    <w:bookmarkEnd w:id="27"/>
    <w:bookmarkEnd w:id="28"/>
    <w:bookmarkStart w:id="29" w:name="case-studies-lessons-from-the-region"/>
    <w:p>
      <w:pPr>
        <w:pStyle w:val="Heading2"/>
      </w:pPr>
      <w:r>
        <w:t xml:space="preserve">Case Studies: Lessons from the Region</w:t>
      </w:r>
    </w:p>
    <w:p>
      <w:pPr>
        <w:pStyle w:val="FirstParagraph"/>
      </w:pPr>
      <w:r>
        <w:t xml:space="preserve">An Economist cannot analyze Kuwait City in isolation. Comparative studies with other GCC cities such as Dubai, Abu Dhabi, and Riyadh offer valuable lessons. Dubai’s transformation from a trading post to a global tourism and business hub demonstrates the power of aggressive diversification strategies.</w:t>
      </w:r>
    </w:p>
    <w:p>
      <w:pPr>
        <w:pStyle w:val="BodyText"/>
      </w:pPr>
      <w:r>
        <w:t xml:space="preserve">Riyadh’s "Vision 2030" highlights the importance of massive public investment in entertainment and infrastructure to shift consumer behavior. While Kuwait City has different cultural and political dynamics, these models provide insights into how structural changes can be implemented. The key takeaway is that diversification requires sustained commitment and clear strategic vision.</w:t>
      </w:r>
    </w:p>
    <w:bookmarkEnd w:id="29"/>
    <w:bookmarkStart w:id="30" w:name="conclusion"/>
    <w:p>
      <w:pPr>
        <w:pStyle w:val="Heading2"/>
      </w:pPr>
      <w:r>
        <w:t xml:space="preserve">Conclusion</w:t>
      </w:r>
    </w:p>
    <w:p>
      <w:pPr>
        <w:pStyle w:val="FirstParagraph"/>
      </w:pPr>
      <w:r>
        <w:t xml:space="preserve">The path forward for Kuwait City involves a balanced approach that leverages current oil revenues to fund future growth in non-oil sectors. This requires collaboration between the government, private sector, and academic institutions. An Economist’s role is to provide the analytical tools and insights necessary to navigate this transition successfully.</w:t>
      </w:r>
    </w:p>
    <w:p>
      <w:pPr>
        <w:pStyle w:val="BodyText"/>
      </w:pPr>
      <w:r>
        <w:t xml:space="preserve">By embracing diversification, improving regulatory environments, and investing in human capital Kuwait City can secure its economic prosperity for generations to come. This poster presentation serves as a call to action for all stakeholders involved in shaping the economic future of Kuwait City. The time for incremental change is passing; bold and strategic action is required now.</w:t>
      </w:r>
    </w:p>
    <w:bookmarkEnd w:id="30"/>
    <w:p>
      <w:pPr>
        <w:pStyle w:val="BodyText"/>
      </w:pPr>
      <w:r>
        <w:t xml:space="preserve">© 2023 Academic Poster Presentation Series. All Rights Reserved.</w:t>
      </w:r>
      <w:r>
        <w:br/>
      </w:r>
      <w:r>
        <w:t xml:space="preserve">Contact: research@economist-analysis-kuwait.com | 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Perspectives in Kuwait: A Poster Presentation</dc:title>
  <dc:creator/>
  <dc:language>en</dc:language>
  <cp:keywords/>
  <dcterms:created xsi:type="dcterms:W3CDTF">2026-07-29T17:01:45Z</dcterms:created>
  <dcterms:modified xsi:type="dcterms:W3CDTF">2026-07-29T17:01:45Z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