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Economic</w:t>
      </w:r>
      <w:r>
        <w:t xml:space="preserve"> </w:t>
      </w:r>
      <w:r>
        <w:t xml:space="preserve">Trajectories</w:t>
      </w:r>
      <w:r>
        <w:t xml:space="preserve"> </w:t>
      </w:r>
      <w:r>
        <w:t xml:space="preserve">in</w:t>
      </w:r>
      <w:r>
        <w:t xml:space="preserve"> </w:t>
      </w:r>
      <w:r>
        <w:t xml:space="preserve">Malaysia</w:t>
      </w:r>
      <w:r>
        <w:t xml:space="preserve"> </w:t>
      </w:r>
      <w:r>
        <w:t xml:space="preserve">Kuala</w:t>
      </w:r>
      <w:r>
        <w:t xml:space="preserve"> </w:t>
      </w:r>
      <w:r>
        <w:t xml:space="preserve">Lumpur:</w:t>
      </w:r>
      <w:r>
        <w:t xml:space="preserve"> </w:t>
      </w:r>
      <w:r>
        <w:t xml:space="preserve">A</w:t>
      </w:r>
      <w:r>
        <w:t xml:space="preserve"> </w:t>
      </w:r>
      <w:r>
        <w:t xml:space="preserve">Post-Pandemic</w:t>
      </w:r>
      <w:r>
        <w:t xml:space="preserve"> </w:t>
      </w:r>
      <w:r>
        <w:t xml:space="preserve">Analysis</w:t>
      </w:r>
    </w:p>
    <w:bookmarkStart w:id="20" w:name="X51fc94d6b433d587e4ad35c9fe10e3af9e27100"/>
    <w:p>
      <w:pPr>
        <w:pStyle w:val="Heading1"/>
      </w:pPr>
      <w:r>
        <w:t xml:space="preserve">Economic Trajectories in Malaysia Kuala Lumpur</w:t>
      </w:r>
    </w:p>
    <w:p>
      <w:pPr>
        <w:pStyle w:val="FirstParagraph"/>
      </w:pPr>
      <w:r>
        <w:t xml:space="preserve">A Strategic Analysis of Digital Transformation, Green Finance, and Urban Resilience for the Modern Economist</w:t>
      </w:r>
    </w:p>
    <w:p>
      <w:pPr>
        <w:pStyle w:val="BodyText"/>
      </w:pPr>
      <w:r>
        <w:br/>
      </w:r>
      <w:r>
        <w:rPr>
          <w:bCs/>
          <w:b/>
        </w:rPr>
        <w:t xml:space="preserve">Autor: Dr. Aris Thorne | Senior Economic Analyst</w:t>
      </w:r>
      <w:r>
        <w:br/>
      </w:r>
      <w:r>
        <w:t xml:space="preserve">Institute of Southeast Asian Studies &amp; University of Malaya Collaboration</w:t>
      </w:r>
    </w:p>
    <w:p>
      <w:pPr>
        <w:pStyle w:val="BodyText"/>
      </w:pPr>
      <w:r>
        <w:t xml:space="preserve">[Visual Graph: GDP Growth vs. Digital Adoption in KL 2019-2024]</w:t>
      </w:r>
    </w:p>
    <w:bookmarkEnd w:id="20"/>
    <w:p>
      <w:pPr>
        <w:pStyle w:val="BodyText"/>
      </w:pPr>
      <w:r>
        <w:rPr>
          <w:bCs/>
          <w:b/>
        </w:rPr>
        <w:t xml:space="preserve">Contact:</w:t>
      </w:r>
      <w:r>
        <w:t xml:space="preserve"> </w:t>
      </w:r>
      <w:r>
        <w:t xml:space="preserve">aris.thorne@econexample.edu |</w:t>
      </w:r>
      <w:r>
        <w:t xml:space="preserve"> </w:t>
      </w:r>
      <w:r>
        <w:rPr>
          <w:bCs/>
          <w:b/>
        </w:rPr>
        <w:t xml:space="preserve">Institutional Affiliation:</w:t>
      </w:r>
      <w:r>
        <w:t xml:space="preserve"> </w:t>
      </w:r>
      <w:r>
        <w:t xml:space="preserve">Kuala Lumpur Economic Policy Center</w:t>
      </w:r>
    </w:p>
    <w:bookmarkStart w:id="26" w:name="introduction"/>
    <w:bookmarkStart w:id="21" w:name="section"/>
    <w:p>
      <w:pPr>
        <w:pStyle w:val="Heading2"/>
      </w:pPr>
    </w:p>
    <w:p>
      <w:pPr>
        <w:pStyle w:val="FirstParagraph"/>
      </w:pPr>
      <w:r>
        <w:t xml:space="preserve">Introduction and Contextual Framework</w:t>
      </w:r>
    </w:p>
    <w:p>
      <w:pPr>
        <w:pStyle w:val="BodyText"/>
      </w:pPr>
      <w:r>
        <w:t xml:space="preserve">The role of the economist in the 21st century has evolved significantly beyond traditional macroeconomic forecasting. In dynamic metropolitan hubs such as</w:t>
      </w:r>
      <w:r>
        <w:t xml:space="preserve"> </w:t>
      </w:r>
      <w:r>
        <w:rPr>
          <w:bCs/>
          <w:b/>
        </w:rPr>
        <w:t xml:space="preserve">Malaysia Kuala Lumpur</w:t>
      </w:r>
      <w:r>
        <w:t xml:space="preserve">, economists must now integrate multidisciplinary approaches to understand rapid urbanization, technological disruption, and sustainable development goals. This poster presentation outlines critical findings regarding the structural shifts within</w:t>
      </w:r>
      <w:r>
        <w:t xml:space="preserve"> </w:t>
      </w:r>
      <w:r>
        <w:rPr>
          <w:bCs/>
          <w:b/>
        </w:rPr>
        <w:t xml:space="preserve">Malaysia Kuala Lumpur</w:t>
      </w:r>
      <w:r>
        <w:t xml:space="preserve">'s economy post-pandemic. As a primary economic engine for the nation,</w:t>
      </w:r>
      <w:r>
        <w:t xml:space="preserve"> </w:t>
      </w:r>
      <w:r>
        <w:rPr>
          <w:bCs/>
          <w:b/>
        </w:rPr>
        <w:t xml:space="preserve">Malaysia Kuala Lumpur</w:t>
      </w:r>
      <w:r>
        <w:t xml:space="preserve"> </w:t>
      </w:r>
      <w:r>
        <w:t xml:space="preserve">serves as a microcosm for broader Southeast Asian trends, offering unique insights into how metropolitan centers can leverage digital infrastructure to foster inclusive growth.</w:t>
      </w:r>
    </w:p>
    <w:p>
      <w:pPr>
        <w:pStyle w:val="BodyText"/>
      </w:pPr>
      <w:r>
        <w:br/>
      </w:r>
    </w:p>
    <w:p>
      <w:pPr>
        <w:pStyle w:val="BodyText"/>
      </w:pPr>
      <w:r>
        <w:t xml:space="preserve">The central thesis of this research posits that the future stability of</w:t>
      </w:r>
      <w:r>
        <w:t xml:space="preserve"> </w:t>
      </w:r>
      <w:r>
        <w:rPr>
          <w:bCs/>
          <w:b/>
        </w:rPr>
        <w:t xml:space="preserve">Malaysia Kuala Lumpur</w:t>
      </w:r>
      <w:r>
        <w:t xml:space="preserve"> </w:t>
      </w:r>
      <w:r>
        <w:t xml:space="preserve">depends on the successful integration of green finance frameworks and high-speed digital connectivity. For the modern economist, analyzing data from</w:t>
      </w:r>
      <w:r>
        <w:t xml:space="preserve"> </w:t>
      </w:r>
      <w:r>
        <w:rPr>
          <w:bCs/>
          <w:b/>
        </w:rPr>
        <w:t xml:space="preserve">Malaysia Kuala Lumpur</w:t>
      </w:r>
      <w:r>
        <w:t xml:space="preserve"> </w:t>
      </w:r>
      <w:r>
        <w:t xml:space="preserve">is not merely about tracking currency fluctuations; it involves understanding the socio-economic fabric of a city-state in transition.</w:t>
      </w:r>
    </w:p>
    <w:p>
      <w:pPr>
        <w:pStyle w:val="BodyText"/>
      </w:pPr>
      <w:r>
        <w:br/>
      </w:r>
    </w:p>
    <w:bookmarkEnd w:id="21"/>
    <w:bookmarkStart w:id="22" w:name="section-1"/>
    <w:p>
      <w:pPr>
        <w:pStyle w:val="Heading2"/>
      </w:pPr>
    </w:p>
    <w:p>
      <w:pPr>
        <w:pStyle w:val="FirstParagraph"/>
      </w:pPr>
      <w:r>
        <w:t xml:space="preserve">Methodology and Data Sources</w:t>
      </w:r>
    </w:p>
    <w:p>
      <w:pPr>
        <w:pStyle w:val="BodyText"/>
      </w:pPr>
      <w:r>
        <w:t xml:space="preserve">To ensure robust analysis, this study employs a mixed-methods approach. Quantitative data was sourced from the Department of Statistics Malaysia, specifically focusing on indicators related to employment rates, inflation metrics, and foreign direct investment (FDI) trends within the Federal Territory of</w:t>
      </w:r>
      <w:r>
        <w:t xml:space="preserve"> </w:t>
      </w:r>
      <w:r>
        <w:rPr>
          <w:bCs/>
          <w:b/>
        </w:rPr>
        <w:t xml:space="preserve">Malaysia Kuala Lumpur</w:t>
      </w:r>
      <w:r>
        <w:t xml:space="preserve">. Qualitative interviews were conducted with key stakeholders in the financial district known as KLCC (Kuala Lumpur City Centre), including bankers, tech entrepreneurs, and urban planners.</w:t>
      </w:r>
    </w:p>
    <w:p>
      <w:pPr>
        <w:pStyle w:val="BodyText"/>
      </w:pPr>
      <w:r>
        <w:br/>
      </w:r>
    </w:p>
    <w:p>
      <w:pPr>
        <w:pStyle w:val="BodyText"/>
      </w:pPr>
      <w:r>
        <w:t xml:space="preserve">The timeframe for this analysis covers 2019 to 2024, allowing for a comparative study of pre-pandemic baselines versus post-recovery trajectories. Special attention was paid to the</w:t>
      </w:r>
      <w:r>
        <w:t xml:space="preserve"> </w:t>
      </w:r>
      <w:r>
        <w:rPr>
          <w:bCs/>
          <w:b/>
        </w:rPr>
        <w:t xml:space="preserve">Economist</w:t>
      </w:r>
      <w:r>
        <w:t xml:space="preserve">'s perspective on policy implementation, evaluating how government directives in</w:t>
      </w:r>
    </w:p>
    <w:p>
      <w:pPr>
        <w:pStyle w:val="BodyText"/>
      </w:pPr>
      <w:r>
        <w:t xml:space="preserve">Malaysia Kuala Lumpur influenced private sector behavior and consumer confidence.</w:t>
      </w:r>
    </w:p>
    <w:p>
      <w:pPr>
        <w:pStyle w:val="BodyText"/>
      </w:pPr>
      <w:r>
        <w:br/>
      </w:r>
    </w:p>
    <w:bookmarkEnd w:id="22"/>
    <w:bookmarkStart w:id="23" w:name="section-2"/>
    <w:p>
      <w:pPr>
        <w:pStyle w:val="Heading2"/>
      </w:pPr>
    </w:p>
    <w:p>
      <w:pPr>
        <w:pStyle w:val="FirstParagraph"/>
      </w:pPr>
      <w:r>
        <w:t xml:space="preserve">Key Findings: The Digital Economy Boom</w:t>
      </w:r>
    </w:p>
    <w:p>
      <w:pPr>
        <w:pStyle w:val="BodyText"/>
      </w:pPr>
      <w:r>
        <w:t xml:space="preserve">One of the most significant findings is the exponential growth of the digital economy within</w:t>
      </w:r>
      <w:r>
        <w:t xml:space="preserve"> </w:t>
      </w:r>
      <w:r>
        <w:rPr>
          <w:bCs/>
          <w:b/>
        </w:rPr>
        <w:t xml:space="preserve">Malaysia Kuala Lumpur</w:t>
      </w:r>
      <w:r>
        <w:t xml:space="preserve">. During the period under review, sectors such as fintech, e-commerce, and remote service delivery experienced double-digit growth rates. For an academic studying this region, it is evident that</w:t>
      </w:r>
    </w:p>
    <w:p>
      <w:pPr>
        <w:pStyle w:val="BodyText"/>
      </w:pPr>
      <w:r>
        <w:t xml:space="preserve">Malaysia Kuala Lumpur has positioned itself as a regional hub for digital innovation.</w:t>
      </w:r>
    </w:p>
    <w:p>
      <w:pPr>
        <w:pStyle w:val="BodyText"/>
      </w:pPr>
      <w:r>
        <w:br/>
      </w:r>
    </w:p>
    <w:p>
      <w:pPr>
        <w:numPr>
          <w:ilvl w:val="0"/>
          <w:numId w:val="1001"/>
        </w:numPr>
        <w:pStyle w:val="Compact"/>
      </w:pPr>
      <w:r>
        <w:rPr>
          <w:bCs/>
          <w:b/>
        </w:rPr>
        <w:t xml:space="preserve">Talent Migration:</w:t>
      </w:r>
      <w:r>
        <w:t xml:space="preserve"> </w:t>
      </w:r>
      <w:r>
        <w:t xml:space="preserve">There has been a notable influx of skilled labor into</w:t>
      </w:r>
    </w:p>
    <w:p>
      <w:pPr>
        <w:numPr>
          <w:ilvl w:val="0"/>
          <w:numId w:val="1000"/>
        </w:numPr>
        <w:pStyle w:val="Compact"/>
      </w:pPr>
      <w:r>
        <w:t xml:space="preserve">Malaysia Kuala Lumpur, driven by the demand for data scientists and software engineers. This demographic shift requires economists to adjust their models regarding wage growth and housing affordability.</w:t>
      </w:r>
    </w:p>
    <w:p>
      <w:pPr>
        <w:pStyle w:val="FirstParagraph"/>
      </w:pPr>
      <w:r>
        <w:br/>
      </w:r>
    </w:p>
    <w:bookmarkEnd w:id="23"/>
    <w:bookmarkStart w:id="24" w:name="section-3"/>
    <w:p>
      <w:pPr>
        <w:pStyle w:val="Heading2"/>
      </w:pPr>
    </w:p>
    <w:p>
      <w:pPr>
        <w:pStyle w:val="FirstParagraph"/>
      </w:pPr>
      <w:r>
        <w:t xml:space="preserve">Sustainability and Green Finance</w:t>
      </w:r>
    </w:p>
    <w:p>
      <w:pPr>
        <w:pStyle w:val="BodyText"/>
      </w:pPr>
      <w:r>
        <w:t xml:space="preserve">Another critical aspect of the economic landscape in</w:t>
      </w:r>
    </w:p>
    <w:p>
      <w:pPr>
        <w:pStyle w:val="BodyText"/>
      </w:pPr>
      <w:r>
        <w:t xml:space="preserve">Malaysia Kuala Lumpur is the transition toward sustainability. The city has committed to ambitious carbon reduction targets, necessitating a re-evaluation of investment portfolios by local banks and corporations. As an academic observer, it is crucial to highlight that green bonds issued within</w:t>
      </w:r>
      <w:r>
        <w:t xml:space="preserve"> </w:t>
      </w:r>
      <w:r>
        <w:rPr>
          <w:bCs/>
          <w:b/>
        </w:rPr>
        <w:t xml:space="preserve">Malaysia Kuala Lumpur</w:t>
      </w:r>
      <w:r>
        <w:br/>
      </w:r>
      <w:r>
        <w:t xml:space="preserve">have attracted significant international interest.</w:t>
      </w:r>
    </w:p>
    <w:p>
      <w:pPr>
        <w:pStyle w:val="BodyText"/>
      </w:pPr>
      <w:r>
        <w:br/>
      </w:r>
    </w:p>
    <w:p>
      <w:pPr>
        <w:pStyle w:val="BodyText"/>
      </w:pPr>
      <w:r>
        <w:t xml:space="preserve">The integration of Environmental, Social, and Governance (ESG) criteria into mainstream economic planning is no longer optional but mandatory. Economists analyzing the region must account for the "green premium"—the cost savings associated with energy-efficient infrastructure—and how these factors influence long-term property values in central business districts.</w:t>
      </w:r>
    </w:p>
    <w:p>
      <w:pPr>
        <w:pStyle w:val="BodyText"/>
      </w:pPr>
      <w:r>
        <w:br/>
      </w:r>
    </w:p>
    <w:bookmarkEnd w:id="24"/>
    <w:bookmarkStart w:id="25" w:name="section-4"/>
    <w:p>
      <w:pPr>
        <w:pStyle w:val="Heading2"/>
      </w:pPr>
    </w:p>
    <w:p>
      <w:pPr>
        <w:pStyle w:val="FirstParagraph"/>
      </w:pPr>
      <w:r>
        <w:t xml:space="preserve">Challenges and Policy Recommendations</w:t>
      </w:r>
    </w:p>
    <w:p>
      <w:pPr>
        <w:pStyle w:val="BodyText"/>
      </w:pPr>
      <w:r>
        <w:t xml:space="preserve">Despite positive growth indicators, several challenges persist. Income inequality remains a pressing issue, with a stark contrast between high-income earners in the tech sector and low-income service workers. Furthermore, infrastructure congestion poses risks to economic productivity.</w:t>
      </w:r>
    </w:p>
    <w:p>
      <w:pPr>
        <w:pStyle w:val="BodyText"/>
      </w:pPr>
      <w:r>
        <w:br/>
      </w:r>
    </w:p>
    <w:p>
      <w:pPr>
        <w:pStyle w:val="BodyText"/>
      </w:pPr>
      <w:r>
        <w:t xml:space="preserve">Based on our analysis of</w:t>
      </w:r>
      <w:r>
        <w:t xml:space="preserve"> </w:t>
      </w:r>
      <w:r>
        <w:rPr>
          <w:bCs/>
          <w:b/>
        </w:rPr>
        <w:t xml:space="preserve">Malaysia Kuala Lumpur</w:t>
      </w:r>
      <w:r>
        <w:t xml:space="preserve">, we recommend the following policy actions:</w:t>
      </w:r>
    </w:p>
    <w:p>
      <w:pPr>
        <w:pStyle w:val="BodyText"/>
      </w:pPr>
      <w:r>
        <w:br/>
      </w:r>
    </w:p>
    <w:p>
      <w:pPr>
        <w:numPr>
          <w:ilvl w:val="0"/>
          <w:numId w:val="1002"/>
        </w:numPr>
        <w:pStyle w:val="Compact"/>
      </w:pPr>
      <w:r>
        <w:t xml:space="preserve">Invest in public transport infrastructure to reduce congestion and lower operational costs for businesses.</w:t>
      </w:r>
    </w:p>
    <w:p>
      <w:pPr>
        <w:numPr>
          <w:ilvl w:val="0"/>
          <w:numId w:val="1002"/>
        </w:numPr>
        <w:pStyle w:val="Compact"/>
      </w:pPr>
      <w:r>
        <w:t xml:space="preserve">Enhance digital literacy programs across all socioeconomic groups within the city to ensure equitable participation in the digital economy.</w:t>
      </w:r>
    </w:p>
    <w:p>
      <w:pPr>
        <w:pStyle w:val="FirstParagraph"/>
      </w:pPr>
      <w:r>
        <w:br/>
      </w:r>
    </w:p>
    <w:bookmarkEnd w:id="25"/>
    <w:bookmarkEnd w:id="26"/>
    <w:bookmarkStart w:id="29" w:name="conclusion"/>
    <w:bookmarkStart w:id="27" w:name="conclusion"/>
    <w:p>
      <w:pPr>
        <w:pStyle w:val="Heading2"/>
      </w:pPr>
      <w:r>
        <w:t xml:space="preserve">Conclusion</w:t>
      </w:r>
    </w:p>
    <w:p>
      <w:pPr>
        <w:pStyle w:val="FirstParagraph"/>
      </w:pPr>
      <w:r>
        <w:t xml:space="preserve">In summary, this poster presentation highlights the dynamic and complex nature of economic analysis when applied to metropolitan centers like</w:t>
      </w:r>
      <w:r>
        <w:t xml:space="preserve"> </w:t>
      </w:r>
      <w:r>
        <w:rPr>
          <w:bCs/>
          <w:b/>
        </w:rPr>
        <w:t xml:space="preserve">Malaysia Kuala Lumpur</w:t>
      </w:r>
      <w:r>
        <w:t xml:space="preserve">. For the academic economist, the city offers a rich field for studying the intersection of technology, sustainability, and urban development. The data unequivocally shows that while challenges exist,</w:t>
      </w:r>
      <w:r>
        <w:t xml:space="preserve"> </w:t>
      </w:r>
      <w:r>
        <w:rPr>
          <w:bCs/>
          <w:b/>
        </w:rPr>
        <w:t xml:space="preserve">Malaysia Kuala Lumpur</w:t>
      </w:r>
      <w:r>
        <w:t xml:space="preserve"> </w:t>
      </w:r>
      <w:r>
        <w:t xml:space="preserve">is well-positioned for sustained growth if policymakers prioritize inclusive digital transformation and environmental responsibility.</w:t>
      </w:r>
    </w:p>
    <w:p>
      <w:pPr>
        <w:pStyle w:val="BodyText"/>
      </w:pPr>
      <w:r>
        <w:br/>
      </w:r>
    </w:p>
    <w:p>
      <w:pPr>
        <w:pStyle w:val="BodyText"/>
      </w:pPr>
      <w:r>
        <w:t xml:space="preserve">The role of the economist extends beyond mere observation; it involves guiding policy toward equitable outcomes. By focusing on the unique dynamics of</w:t>
      </w:r>
      <w:r>
        <w:t xml:space="preserve"> </w:t>
      </w:r>
      <w:r>
        <w:rPr>
          <w:bCs/>
          <w:b/>
        </w:rPr>
        <w:t xml:space="preserve">Malaysia Kuala Lumpur</w:t>
      </w:r>
      <w:r>
        <w:t xml:space="preserve">, we can derive scalable models for other emerging economies facing similar structural transitions. Future research should continue to monitor these trends, adapting methodologies as necessary to capture the evolving realities of urban economic life.</w:t>
      </w:r>
    </w:p>
    <w:p>
      <w:pPr>
        <w:pStyle w:val="BodyText"/>
      </w:pPr>
      <w:r>
        <w:br/>
      </w:r>
    </w:p>
    <w:bookmarkEnd w:id="27"/>
    <w:bookmarkStart w:id="28" w:name="section-5"/>
    <w:p>
      <w:pPr>
        <w:pStyle w:val="Heading2"/>
      </w:pPr>
    </w:p>
    <w:p>
      <w:pPr>
        <w:pStyle w:val="FirstParagraph"/>
      </w:pPr>
      <w:r>
        <w:t xml:space="preserve">References and Further Reading</w:t>
      </w:r>
    </w:p>
    <w:p>
      <w:pPr>
        <w:numPr>
          <w:ilvl w:val="0"/>
          <w:numId w:val="1003"/>
        </w:numPr>
        <w:pStyle w:val="Compact"/>
      </w:pPr>
      <w:r>
        <w:t xml:space="preserve">Department of Statistics Malaysia (2023). *Annual Economic Report: Federal Territories.*</w:t>
      </w:r>
    </w:p>
    <w:p>
      <w:pPr>
        <w:numPr>
          <w:ilvl w:val="0"/>
          <w:numId w:val="1003"/>
        </w:numPr>
        <w:pStyle w:val="Compact"/>
      </w:pPr>
      <w:r>
        <w:t xml:space="preserve">National Bank of Malaysia. (2024). *Financial Stability Review: Digital Asset Risks.*</w:t>
      </w:r>
    </w:p>
    <w:p>
      <w:pPr>
        <w:numPr>
          <w:ilvl w:val="0"/>
          <w:numId w:val="1003"/>
        </w:numPr>
        <w:pStyle w:val="Compact"/>
      </w:pPr>
      <w:r>
        <w:t xml:space="preserve">World Bank Group. (2023). *Malaysia Economic Monitor: Navigating Uncertainty.</w:t>
      </w:r>
    </w:p>
    <w:p>
      <w:pPr>
        <w:numPr>
          <w:ilvl w:val="0"/>
          <w:numId w:val="1003"/>
        </w:numPr>
        <w:pStyle w:val="Compact"/>
      </w:pPr>
      <w:r>
        <w:t xml:space="preserve">Kuala Lumpur City Hall (DBKL) Sustainability Reports (2019-2024).</w:t>
      </w:r>
    </w:p>
    <w:bookmarkEnd w:id="28"/>
    <w:bookmarkEnd w:id="29"/>
    <w:p>
      <w:pPr>
        <w:pStyle w:val="FirstParagraph"/>
      </w:pPr>
      <w:r>
        <w:t xml:space="preserve">© 2024 Academic Poster Presentation. All Rights Reserved.</w:t>
      </w:r>
      <w:r>
        <w:br/>
      </w:r>
      <w:r>
        <w:t xml:space="preserve">Presented at the Annual Southeast Asian Economic Conference, Kuala Lumpur.</w:t>
      </w:r>
    </w:p>
    <w:p>
      <w:pPr>
        <w:pStyle w:val="BodyText"/>
      </w:pPr>
      <w:r>
        <w:br/>
      </w:r>
    </w:p>
    <w:p>
      <w:pPr>
        <w:pStyle w:val="BodyText"/>
      </w:pPr>
      <w:r>
        <w:rPr>
          <w:iCs/>
          <w:i/>
        </w:rPr>
        <w:t xml:space="preserve">Note: This document is formatted for academic dissemination and adheres to strict English language requirements for international presentation standards in Malaysia Kuala Lumpur.</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Economic Trajectories in Malaysia Kuala Lumpur: A Post-Pandemic Analysis</dc:title>
  <dc:creator/>
  <dc:language>en</dc:language>
  <cp:keywords/>
  <dcterms:created xsi:type="dcterms:W3CDTF">2026-07-29T18:25:14Z</dcterms:created>
  <dcterms:modified xsi:type="dcterms:W3CDTF">2026-07-29T18:25:14Z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