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Venezuela</w:t>
      </w:r>
      <w:r>
        <w:t xml:space="preserve"> </w:t>
      </w:r>
      <w:r>
        <w:t xml:space="preserve">Caracas</w:t>
      </w:r>
    </w:p>
    <w:bookmarkStart w:id="20" w:name="Xf88a491d4251166fb97e40266439a1870d8e852"/>
    <w:p>
      <w:pPr>
        <w:pStyle w:val="Heading1"/>
      </w:pPr>
      <w:r>
        <w:t xml:space="preserve">Economic Resilience and Structural Transformation in Venezuela Caracas</w:t>
      </w:r>
    </w:p>
    <w:p>
      <w:pPr>
        <w:pStyle w:val="FirstParagraph"/>
      </w:pPr>
      <w:r>
        <w:t xml:space="preserve">Academic Poster Presentation by Dr. Elena Rodriguez, Department of Economic Analysis, Central University of the Andes &amp; International Policy Institute</w:t>
      </w:r>
    </w:p>
    <w:bookmarkEnd w:id="20"/>
    <w:bookmarkStart w:id="21" w:name="introduction-the-context-of-caracas"/>
    <w:p>
      <w:pPr>
        <w:pStyle w:val="Heading2"/>
      </w:pPr>
      <w:r>
        <w:t xml:space="preserve">Introduction: The Context of Caracas</w:t>
      </w:r>
    </w:p>
    <w:p>
      <w:pPr>
        <w:pStyle w:val="FirstParagraph"/>
      </w:pPr>
      <w:r>
        <w:t xml:space="preserve">The economic landscape of Venezuela, particularly its capital city, Caracas, represents one of the most complex case studies in contemporary macroeconomic history. For over a decade, the nation has grappled with hyperinflationary pressures, severe currency depreciation, and a contraction in GDP that rivals the Great Depression. However, as an academic inquiry into economic recovery mechanisms becomes paramount for policymakers and international stakeholders alike, it is crucial to examine not only the historical failures of past policy implementations but also the emergent signs of resilience within specific urban centers. This presentation focuses specifically on Caracas, analyzing how localized economic dynamics in Venezuela’s capital offer unique insights into broader national stabilization efforts. The objective is to move beyond political rhetoric and utilize rigorous economic analysis to propose a roadmap for sustainable structural transformation that leverages the human capital inherent in Caracas.</w:t>
      </w:r>
    </w:p>
    <w:bookmarkEnd w:id="21"/>
    <w:bookmarkStart w:id="22" w:name="Xc1f200b358d604e61e0c60713b4b175410c8748"/>
    <w:p>
      <w:pPr>
        <w:pStyle w:val="Heading2"/>
      </w:pPr>
      <w:r>
        <w:t xml:space="preserve">Methodology: Analyzing Informal and Formal Sectors</w:t>
      </w:r>
    </w:p>
    <w:p>
      <w:pPr>
        <w:pStyle w:val="FirstParagraph"/>
      </w:pPr>
      <w:r>
        <w:t xml:space="preserve">To accurately assess the current economic reality of Venezuela Caracas, this study employs a mixed-methods approach. Traditional macroeconomic indicators derived from official state statistics are often subject to significant underreporting during periods of hyperinflation. Therefore, our methodology integrates data from independent private sector chambers, such as the Chamber of Commerce of Caracas (CCC), alongside household budget surveys conducted by civil society organizations.</w:t>
      </w:r>
    </w:p>
    <w:p>
      <w:pPr>
        <w:pStyle w:val="BodyText"/>
      </w:pPr>
      <w:r>
        <w:t xml:space="preserve">We utilize a Vector Autoregression (VAR) model to analyze the correlation between exchange rate fluctuations and retail price indices in specific districts of Caracas. Furthermore, qualitative interviews with small business owners and financial analysts provide context to the quantitative data. This dual approach allows for a more granular understanding of how economic shocks are transmitted through the supply chains that define daily life in Venezuela’s capital city.</w:t>
      </w:r>
    </w:p>
    <w:bookmarkEnd w:id="22"/>
    <w:bookmarkStart w:id="23" w:name="the-dual-currency-economy"/>
    <w:p>
      <w:pPr>
        <w:pStyle w:val="Heading2"/>
      </w:pPr>
      <w:r>
        <w:t xml:space="preserve">The Dual Currency Economy</w:t>
      </w:r>
    </w:p>
    <w:p>
      <w:pPr>
        <w:pStyle w:val="FirstParagraph"/>
      </w:pPr>
      <w:r>
        <w:t xml:space="preserve">A defining characteristic of the current Venezuelan economic environment is the proliferation of dollarization. In Caracas, while the Bolivar remains legal tender, a significant portion of commercial transactions—particularly in real estate, automotive sales, and high-value retail—are conducted in United States dollars or their digital equivalents. This informal dollarization has acted as a stabilizing force for certain segments of society but has created stark inequalities between those with access to foreign currency and those reliant on local income.</w:t>
      </w:r>
    </w:p>
    <w:p>
      <w:pPr>
        <w:pStyle w:val="BodyText"/>
      </w:pPr>
      <w:r>
        <w:t xml:space="preserve">Our data indicates that Caracas serves as the primary hub for this financial segregation. The city’s service sector, including gastronomy, tourism, and professional consulting, has shown resilience by adapting to multi-currency systems. However, this adaptation masks underlying structural weaknesses in manufacturing and agriculture at the national level.</w:t>
      </w:r>
    </w:p>
    <w:bookmarkEnd w:id="23"/>
    <w:bookmarkStart w:id="24" w:name="structural-barriers-to-recovery"/>
    <w:p>
      <w:pPr>
        <w:pStyle w:val="Heading2"/>
      </w:pPr>
      <w:r>
        <w:t xml:space="preserve">Structural Barriers to Recovery</w:t>
      </w:r>
    </w:p>
    <w:p>
      <w:pPr>
        <w:pStyle w:val="FirstParagraph"/>
      </w:pPr>
      <w:r>
        <w:t xml:space="preserve">The path toward economic normalization in Venezuela faces immense structural barriers. First, the regulatory environment remains unpredictable, deterring long-term foreign direct investment (FDI). Second, infrastructure deficits—ranging from power grid instability to water supply issues—impose a "tax" on productivity that disproportionately affects businesses in Caracas.</w:t>
      </w:r>
    </w:p>
    <w:p>
      <w:pPr>
        <w:pStyle w:val="BodyText"/>
      </w:pPr>
      <w:r>
        <w:t xml:space="preserve">Thirdly, human capital flight has decimated the technical and managerial expertise necessary for industrial recovery. While many professionals have emigrated, a significant portion of highly educated Venezuelans remain in Caracas, creating a pool of talent that is underutilized due to the lack of conducive economic conditions. Addressing these barriers requires coordinated policy interventions that go beyond monetary stabilization to include institutional reforms.</w:t>
      </w:r>
    </w:p>
    <w:bookmarkEnd w:id="24"/>
    <w:bookmarkStart w:id="25" w:name="strategic-policy-recommendations"/>
    <w:p>
      <w:pPr>
        <w:pStyle w:val="Heading2"/>
      </w:pPr>
      <w:r>
        <w:t xml:space="preserve">Strategic Policy Recommendations</w:t>
      </w:r>
    </w:p>
    <w:p>
      <w:pPr>
        <w:pStyle w:val="FirstParagraph"/>
      </w:pPr>
      <w:r>
        <w:t xml:space="preserve">To foster sustainable growth, we propose a three-pillar strategy focused on Venezuela Caracas:</w:t>
      </w:r>
    </w:p>
    <w:p>
      <w:pPr>
        <w:numPr>
          <w:ilvl w:val="0"/>
          <w:numId w:val="1001"/>
        </w:numPr>
        <w:pStyle w:val="Compact"/>
      </w:pPr>
      <w:r>
        <w:rPr>
          <w:bCs/>
          <w:b/>
        </w:rPr>
        <w:t xml:space="preserve">Tax Incentivization for SMEs:</w:t>
      </w:r>
      <w:r>
        <w:t xml:space="preserve"> </w:t>
      </w:r>
      <w:r>
        <w:t xml:space="preserve">Implement temporary tax holidays for Small and Medium Enterprises (SMEs) operating in Caracas to encourage formalization. By bringing informal businesses into the formal sector, the government can broaden its tax base while providing stability to entrepreneurs.</w:t>
      </w:r>
    </w:p>
    <w:p>
      <w:pPr>
        <w:numPr>
          <w:ilvl w:val="0"/>
          <w:numId w:val="1001"/>
        </w:numPr>
        <w:pStyle w:val="Compact"/>
      </w:pPr>
      <w:r>
        <w:rPr>
          <w:bCs/>
          <w:b/>
        </w:rPr>
        <w:t xml:space="preserve">Digital Infrastructure Investment:</w:t>
      </w:r>
      <w:r>
        <w:t xml:space="preserve"> </w:t>
      </w:r>
      <w:r>
        <w:t xml:space="preserve">Prioritize investment in broadband and digital payment systems. This will facilitate financial inclusion for unbanked populations and reduce transaction costs associated with cash handling.</w:t>
      </w:r>
    </w:p>
    <w:p>
      <w:pPr>
        <w:numPr>
          <w:ilvl w:val="0"/>
          <w:numId w:val="1001"/>
        </w:numPr>
        <w:pStyle w:val="Compact"/>
      </w:pPr>
      <w:r>
        <w:rPr>
          <w:bCs/>
          <w:b/>
        </w:rPr>
        <w:t xml:space="preserve">Skill Matching Programs:</w:t>
      </w:r>
      <w:r>
        <w:t xml:space="preserve"> </w:t>
      </w:r>
      <w:r>
        <w:t xml:space="preserve">Establish partnerships between universities in Caracas and international technology firms to create vocational training programs that align local talent with global market needs.</w:t>
      </w:r>
    </w:p>
    <w:bookmarkEnd w:id="25"/>
    <w:bookmarkStart w:id="26" w:name="innovation-hubs-in-caracas"/>
    <w:p>
      <w:pPr>
        <w:pStyle w:val="Heading2"/>
      </w:pPr>
      <w:r>
        <w:t xml:space="preserve">Innovation Hubs in Caracas</w:t>
      </w:r>
    </w:p>
    <w:p>
      <w:pPr>
        <w:pStyle w:val="FirstParagraph"/>
      </w:pPr>
      <w:r>
        <w:t xml:space="preserve">An often overlooked aspect of the economic recovery is the emergence of tech innovation hubs within Caracas. Despite infrastructure challenges, a vibrant ecosystem of startups has emerged, focusing on fintech solutions that bridge the gap between informal and formal economies.</w:t>
      </w:r>
    </w:p>
    <w:p>
      <w:pPr>
        <w:pStyle w:val="BodyText"/>
      </w:pPr>
      <w:r>
        <w:t xml:space="preserve">These local innovators are developing software solutions for inventory management in multi-currency environments and mobile payment platforms that operate offline. By supporting these innovation hubs through public-private partnerships, Caracas can position itself as a regional leader in digital transformation, attracting talent back to the city and fostering a knowledge-based economy.</w:t>
      </w:r>
    </w:p>
    <w:bookmarkEnd w:id="26"/>
    <w:bookmarkStart w:id="27" w:name="Xf24acc89aae17541200136c8eec552ff89534c4"/>
    <w:p>
      <w:pPr>
        <w:pStyle w:val="Heading2"/>
      </w:pPr>
      <w:r>
        <w:t xml:space="preserve">Conclusion: A Path Forward for Economic Analysis</w:t>
      </w:r>
    </w:p>
    <w:p>
      <w:pPr>
        <w:pStyle w:val="FirstParagraph"/>
      </w:pPr>
      <w:r>
        <w:t xml:space="preserve">The economic narrative of Venezuela Caracas is shifting from one of pure crisis management to one of adaptation and potential renewal. While the challenges are profound, the resilience demonstrated by local entrepreneurs and professionals offers a foundation upon which robust policy can be built. For economists and policymakers, the lesson from Caracas is clear: sustainable recovery requires more than just monetary stabilization; it demands institutional trust, investment in human capital, and support for grassroots innovation.</w:t>
      </w:r>
    </w:p>
    <w:p>
      <w:pPr>
        <w:pStyle w:val="BodyText"/>
      </w:pPr>
      <w:r>
        <w:t xml:space="preserve">This presentation underscores the critical role that academic research plays in guiding these policies. By continuing to monitor economic indicators with precision and advocating for evidence-based interventions, stakeholders can help steer Venezuela Caracas toward a future of inclusive growth and stability. The case of Caracas is not just about survival; it is a blueprint for post-crisis reconstruction in complex economic environments.</w:t>
      </w:r>
    </w:p>
    <w:bookmarkEnd w:id="27"/>
    <w:p>
      <w:pPr>
        <w:pStyle w:val="BodyText"/>
      </w:pPr>
      <w:r>
        <w:t xml:space="preserve">© 2023 Academic Poster Presentation Series. All Rights Reserved.</w:t>
      </w:r>
    </w:p>
    <w:p>
      <w:pPr>
        <w:pStyle w:val="BodyText"/>
      </w:pPr>
      <w:r>
        <w:t xml:space="preserve">Contact for further inquiry via the Institute of Economic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Transformation: A Strategic Framework for Venezuela Caracas</dc:title>
  <dc:creator/>
  <dc:language>en</dc:language>
  <cp:keywords/>
  <dcterms:created xsi:type="dcterms:W3CDTF">2026-07-29T17:20:35Z</dcterms:created>
  <dcterms:modified xsi:type="dcterms:W3CDTF">2026-07-29T17:20:35Z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