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p>
    <w:bookmarkStart w:id="38" w:name="X5336a1d6d17d6d0a13a0e3b04328b840c6c86da"/>
    <w:p>
      <w:pPr>
        <w:pStyle w:val="Heading1"/>
      </w:pPr>
      <w:r>
        <w:t xml:space="preserve">Bridging Science and Society:</w:t>
      </w:r>
      <w:r>
        <w:br/>
      </w:r>
      <w:r>
        <w:t xml:space="preserve">The Critical Role of the Editor in Modern Academic Publishing</w:t>
      </w:r>
    </w:p>
    <w:p>
      <w:pPr>
        <w:pStyle w:val="FirstParagraph"/>
      </w:pPr>
      <w:r>
        <w:t xml:space="preserve">Presented at the International Conference on Scientific Communication</w:t>
      </w:r>
      <w:r>
        <w:br/>
      </w:r>
      <w:r>
        <w:t xml:space="preserve">Location: Lyon, France | Date: October 2023</w:t>
      </w:r>
      <w:r>
        <w:br/>
      </w:r>
      <w:r>
        <w:t xml:space="preserve">Prepared by: The Editorial Research Collective</w:t>
      </w:r>
    </w:p>
    <w:bookmarkStart w:id="20" w:name="abstract"/>
    <w:p>
      <w:pPr>
        <w:pStyle w:val="Heading2"/>
      </w:pPr>
      <w:r>
        <w:t xml:space="preserve">Abstract</w:t>
      </w:r>
    </w:p>
    <w:p>
      <w:pPr>
        <w:pStyle w:val="FirstParagraph"/>
      </w:pPr>
      <w:r>
        <w:t xml:space="preserve">In the rapidly evolving landscape of scientific communication, the role of the academic editor has transcended traditional gatekeeping functions. This poster presentation explores the multifaceted responsibilities of editors within peer-reviewed journals, emphasizing their pivotal impact on research quality, ethical integrity, and global dissemination. Specifically framed within the context of international collaboration and hosted against the backdrop of Lyon’s vibrant academic community in France, this document analyzes how editors serve as custodians of truth and facilitators of scientific progress. We argue that effective editing is not merely a technical process but a strategic intervention that shapes the trajectory of scientific inquiry.</w:t>
      </w:r>
    </w:p>
    <w:bookmarkEnd w:id="20"/>
    <w:bookmarkStart w:id="22" w:name="introduction"/>
    <w:bookmarkStart w:id="21" w:name="introduction-the-evolution-of-editing"/>
    <w:p>
      <w:pPr>
        <w:pStyle w:val="Heading2"/>
      </w:pPr>
      <w:r>
        <w:t xml:space="preserve">Introduction: The Evolution of Editing</w:t>
      </w:r>
    </w:p>
    <w:p>
      <w:pPr>
        <w:pStyle w:val="FirstParagraph"/>
      </w:pPr>
      <w:r>
        <w:t xml:space="preserve">The concept of the "Editor" has undergone a significant transformation over the past three decades. Historically viewed as passive referees who merely accepted or rejected manuscripts, modern editors are now active managers of the scientific discourse. In an era characterized by an exponential increase in published literature, often referred to as "information overload," the editor’s ability to curate high-impact research is more critical than ever. This shift is particularly relevant for conferences held in major European hubs like Lyon, France, which serve as melting pots for diverse intellectual traditions and international standards of academic excellence.</w:t>
      </w:r>
    </w:p>
    <w:p>
      <w:pPr>
        <w:pStyle w:val="BodyText"/>
      </w:pPr>
      <w:r>
        <w:t xml:space="preserve">The modern Editor acts as a mediator between authors, reviewers, and the broader scientific community. Their decisions influence funding allocations, policy recommendations, and subsequent research directions. Therefore, understanding the dynamics of editorial decision-making is essential for any stakeholder in the academic ecosystem.</w:t>
      </w:r>
    </w:p>
    <w:bookmarkEnd w:id="21"/>
    <w:bookmarkEnd w:id="22"/>
    <w:bookmarkStart w:id="27" w:name="responsibilities"/>
    <w:bookmarkStart w:id="26" w:name="core-responsibilities-of-the-editor"/>
    <w:p>
      <w:pPr>
        <w:pStyle w:val="Heading2"/>
      </w:pPr>
      <w:r>
        <w:t xml:space="preserve">Core Responsibilities of the Editor</w:t>
      </w:r>
    </w:p>
    <w:bookmarkStart w:id="23" w:name="gatekeeping-and-quality-control"/>
    <w:p>
      <w:pPr>
        <w:pStyle w:val="Heading3"/>
      </w:pPr>
      <w:r>
        <w:t xml:space="preserve">1. Gatekeeping and Quality Control</w:t>
      </w:r>
    </w:p>
    <w:p>
      <w:pPr>
        <w:pStyle w:val="FirstParagraph"/>
      </w:pPr>
      <w:r>
        <w:t xml:space="preserve">The primary function of the Editor is to ensure the validity and reliability of published work. This involves:</w:t>
      </w:r>
    </w:p>
    <w:p>
      <w:pPr>
        <w:numPr>
          <w:ilvl w:val="0"/>
          <w:numId w:val="1001"/>
        </w:numPr>
        <w:pStyle w:val="Compact"/>
      </w:pPr>
      <w:r>
        <w:rPr>
          <w:bCs/>
          <w:b/>
        </w:rPr>
        <w:t xml:space="preserve">Rigorous Peer Review Management:</w:t>
      </w:r>
      <w:r>
        <w:t xml:space="preserve"> </w:t>
      </w:r>
      <w:r>
        <w:t xml:space="preserve">Selecting qualified, unbiased reviewers who possess specialized expertise in specific niches.</w:t>
      </w:r>
    </w:p>
    <w:p>
      <w:pPr>
        <w:numPr>
          <w:ilvl w:val="0"/>
          <w:numId w:val="1001"/>
        </w:numPr>
        <w:pStyle w:val="Compact"/>
      </w:pPr>
      <w:r>
        <w:rPr>
          <w:bCs/>
          <w:b/>
        </w:rPr>
        <w:t xml:space="preserve">Synthesis of Reviews:</w:t>
      </w:r>
    </w:p>
    <w:p>
      <w:pPr>
        <w:numPr>
          <w:ilvl w:val="0"/>
          <w:numId w:val="1000"/>
        </w:numPr>
        <w:pStyle w:val="Compact"/>
      </w:pPr>
      <w:r>
        <w:t xml:space="preserve">Integrating conflicting reviewer comments to make fair, evidence-based decisions regarding manuscript acceptance or rejection.</w:t>
      </w:r>
    </w:p>
    <w:p>
      <w:pPr>
        <w:numPr>
          <w:ilvl w:val="0"/>
          <w:numId w:val="1001"/>
        </w:numPr>
        <w:pStyle w:val="Compact"/>
      </w:pPr>
      <w:r>
        <w:rPr>
          <w:bCs/>
          <w:b/>
        </w:rPr>
        <w:t xml:space="preserve">Falsification Detection:</w:t>
      </w:r>
    </w:p>
    <w:p>
      <w:pPr>
        <w:numPr>
          <w:ilvl w:val="0"/>
          <w:numId w:val="1000"/>
        </w:numPr>
        <w:pStyle w:val="Compact"/>
      </w:pPr>
      <w:r>
        <w:t xml:space="preserve">Utilizing advanced software and editorial intuition to identify plagiarism, image manipulation, and data fabrication.</w:t>
      </w:r>
    </w:p>
    <w:bookmarkEnd w:id="23"/>
    <w:bookmarkStart w:id="24" w:name="ethical-stewardship"/>
    <w:p>
      <w:pPr>
        <w:pStyle w:val="Heading3"/>
      </w:pPr>
      <w:r>
        <w:t xml:space="preserve">2. Ethical Stewardship</w:t>
      </w:r>
    </w:p>
    <w:p>
      <w:pPr>
        <w:pStyle w:val="FirstParagraph"/>
      </w:pPr>
      <w:r>
        <w:t xml:space="preserve">Ethics form the backbone of academic publishing. Editors are responsible for upholding the COPE (Committee on Publication Ethics) guidelines. This includes managing conflicts of interest, ensuring proper authorship attribution, and addressing allegations of misconduct promptly and transparently.</w:t>
      </w:r>
    </w:p>
    <w:bookmarkEnd w:id="24"/>
    <w:bookmarkStart w:id="25" w:name="strategic-direction-and-scope-definition"/>
    <w:p>
      <w:pPr>
        <w:pStyle w:val="Heading3"/>
      </w:pPr>
      <w:r>
        <w:t xml:space="preserve">3. Strategic Direction and Scope Definition</w:t>
      </w:r>
    </w:p>
    <w:p>
      <w:pPr>
        <w:pStyle w:val="FirstParagraph"/>
      </w:pPr>
      <w:r>
        <w:t xml:space="preserve">Editions set the thematic direction of journals through special issues and editorial policies. By prioritizing emerging fields such as artificial intelligence in healthcare, climate change modeling, or genomic editing, Editors guide the community toward solving pressing global challenges.</w:t>
      </w:r>
    </w:p>
    <w:bookmarkEnd w:id="25"/>
    <w:bookmarkEnd w:id="26"/>
    <w:bookmarkEnd w:id="27"/>
    <w:bookmarkStart w:id="31" w:name="lyon-context"/>
    <w:bookmarkStart w:id="28" w:name="the-specific-context-of-france-and-lyon"/>
    <w:p>
      <w:pPr>
        <w:pStyle w:val="Heading2"/>
      </w:pPr>
      <w:r>
        <w:t xml:space="preserve">The Specific Context of France and Lyon</w:t>
      </w:r>
    </w:p>
    <w:bookmarkEnd w:id="28"/>
    <w:p>
      <w:pPr>
        <w:pStyle w:val="FirstParagraph"/>
      </w:pPr>
      <w:r>
        <w:t xml:space="preserve">This presentation is contextualized within the academic environment of Lyon, a city in France renowned for its rich history in science, medicine, and humanities. Hosting an academic discourse on editing in Lyon provides a unique perspective due to the region's strong institutional support for open access and multilingual scientific communication.</w:t>
      </w:r>
    </w:p>
    <w:bookmarkStart w:id="29" w:name="the-french-academic-ecosystem"/>
    <w:p>
      <w:pPr>
        <w:pStyle w:val="Heading3"/>
      </w:pPr>
      <w:r>
        <w:t xml:space="preserve">The French Academic Ecosystem</w:t>
      </w:r>
    </w:p>
    <w:p>
      <w:pPr>
        <w:pStyle w:val="FirstParagraph"/>
      </w:pPr>
      <w:r>
        <w:t xml:space="preserve">In France, the relationship between national research institutions (such as CNRS) and private or semi-public publishers is complex. The "France Lyon" setting highlights a growing trend towards open science initiatives mandated by European directives. Editors operating within or collaborating with this framework must navigate dual demands: maintaining high-impact metrics while adhering to stringent public funding transparency requirements.</w:t>
      </w:r>
    </w:p>
    <w:bookmarkEnd w:id="29"/>
    <w:bookmarkStart w:id="30" w:name="cultural-and-linguistic-nuances"/>
    <w:p>
      <w:pPr>
        <w:pStyle w:val="Heading3"/>
      </w:pPr>
      <w:r>
        <w:t xml:space="preserve">Cultural and Linguistic Nuances</w:t>
      </w:r>
    </w:p>
    <w:p>
      <w:pPr>
        <w:pStyle w:val="FirstParagraph"/>
      </w:pPr>
      <w:r>
        <w:t xml:space="preserve">Lyon, as a UNESCO Creative City and a hub for international diplomacy, represents a crossroads of cultures. For Editors publishing in this region or presenting here, managing non-native English speakers is crucial. The role expands to include supporting linguistic clarity without compromising the author’s voice. This cultural sensitivity fosters inclusivity and ensures that scientific contributions from Francophone regions gain global visibility.</w:t>
      </w:r>
    </w:p>
    <w:bookmarkEnd w:id="30"/>
    <w:bookmarkEnd w:id="31"/>
    <w:bookmarkStart w:id="34" w:name="challenges"/>
    <w:bookmarkStart w:id="33" w:name="current-challenges-in-editorial-practice"/>
    <w:p>
      <w:pPr>
        <w:pStyle w:val="Heading2"/>
      </w:pPr>
      <w:r>
        <w:t xml:space="preserve">Current Challenges in Editorial Practice</w:t>
      </w:r>
    </w:p>
    <w:p>
      <w:pPr>
        <w:numPr>
          <w:ilvl w:val="0"/>
          <w:numId w:val="1002"/>
        </w:numPr>
        <w:pStyle w:val="Compact"/>
      </w:pPr>
      <w:r>
        <w:rPr>
          <w:bCs/>
          <w:b/>
        </w:rPr>
        <w:t xml:space="preserve">Burnout and Workload:</w:t>
      </w:r>
    </w:p>
    <w:p>
      <w:pPr>
        <w:numPr>
          <w:ilvl w:val="0"/>
          <w:numId w:val="1000"/>
        </w:numPr>
        <w:pStyle w:val="Compact"/>
      </w:pPr>
      <w:r>
        <w:t xml:space="preserve">The volume of submissions continues to outpace the number of available academic Editors, leading to decision delays and professional fatigue.</w:t>
      </w:r>
    </w:p>
    <w:p>
      <w:pPr>
        <w:numPr>
          <w:ilvl w:val="0"/>
          <w:numId w:val="1002"/>
        </w:numPr>
        <w:pStyle w:val="Compact"/>
      </w:pPr>
      <w:r>
        <w:t xml:space="preserve">Diversity and Inclusion:</w:t>
      </w:r>
    </w:p>
    <w:p>
      <w:pPr>
        <w:numPr>
          <w:ilvl w:val="0"/>
          <w:numId w:val="1000"/>
        </w:numPr>
        <w:pStyle w:val="Compact"/>
      </w:pPr>
      <w:r>
        <w:t xml:space="preserve">Ensuring that editorial boards reflect a diverse range of genders, geographies, and disciplines remains an ongoing struggle. Underrepresentation in senior editorial roles can bias the scope of published research.</w:t>
      </w:r>
    </w:p>
    <w:p>
      <w:pPr>
        <w:numPr>
          <w:ilvl w:val="0"/>
          <w:numId w:val="1002"/>
        </w:numPr>
        <w:pStyle w:val="Compact"/>
      </w:pPr>
      <w:r>
        <w:t xml:space="preserve">Rapid Dissemination vs. Verification:</w:t>
      </w:r>
    </w:p>
    <w:p>
      <w:pPr>
        <w:numPr>
          <w:ilvl w:val="0"/>
          <w:numId w:val="1000"/>
        </w:numPr>
        <w:pStyle w:val="Compact"/>
      </w:pPr>
      <w:r>
        <w:t xml:space="preserve">The pressure to publish quickly, especially in fields like public health or computer science, clashes with the need for thorough verification. Editors must balance speed with rigor.</w:t>
      </w:r>
    </w:p>
    <w:bookmarkStart w:id="32" w:name="potential-solutions"/>
    <w:p>
      <w:pPr>
        <w:pStyle w:val="Heading3"/>
      </w:pPr>
      <w:r>
        <w:t xml:space="preserve">Potential Solutions</w:t>
      </w:r>
    </w:p>
    <w:p>
      <w:pPr>
        <w:pStyle w:val="FirstParagraph"/>
      </w:pPr>
      <w:r>
        <w:t xml:space="preserve">To address these challenges, we propose a shift towards AI-assisted editorial workflows for initial screening (checking formatting and basic plagiarism), allowing human Editors to focus on nuanced scientific judgment. Furthermore, establishing mentorship programs for early-career researchers entering editorial roles can help alleviate burnout and foster a new generation of ethical stewards.</w:t>
      </w:r>
    </w:p>
    <w:bookmarkEnd w:id="32"/>
    <w:bookmarkEnd w:id="33"/>
    <w:bookmarkEnd w:id="34"/>
    <w:bookmarkStart w:id="35" w:name="conclusion"/>
    <w:p>
      <w:pPr>
        <w:pStyle w:val="Heading2"/>
      </w:pPr>
      <w:r>
        <w:t xml:space="preserve">Conclusion</w:t>
      </w:r>
    </w:p>
    <w:p>
      <w:pPr>
        <w:pStyle w:val="FirstParagraph"/>
      </w:pPr>
      <w:r>
        <w:t xml:space="preserve">The Editor is the linchpin of the academic publishing machinery. In Lyon, France, where scientific tradition meets modern innovation, the responsibilities of Editors are expanding beyond simple manuscript management to encompass ethical leadership, strategic visioning, and cultural mediation. As we move forward into an era of open science and global collaboration, recognizing and supporting the professional development of Editors is paramount. By enhancing editorial resources and acknowledging their critical role in maintaining scientific integrity, we ensure that the dissemination of knowledge remains robust, trustworthy, and impactful.</w:t>
      </w:r>
    </w:p>
    <w:p>
      <w:pPr>
        <w:pStyle w:val="BodyText"/>
      </w:pPr>
      <w:r>
        <w:t xml:space="preserve">We invite the attendees in Lyon to engage with these ideas, sharing best practices that can be adapted globally while respecting local academic cultures.</w:t>
      </w:r>
    </w:p>
    <w:bookmarkEnd w:id="35"/>
    <w:bookmarkStart w:id="37" w:name="references"/>
    <w:bookmarkStart w:id="36" w:name="selected-references"/>
    <w:p>
      <w:pPr>
        <w:pStyle w:val="Heading2"/>
      </w:pPr>
      <w:r>
        <w:t xml:space="preserve">Selected References</w:t>
      </w:r>
    </w:p>
    <w:p>
      <w:pPr>
        <w:numPr>
          <w:ilvl w:val="0"/>
          <w:numId w:val="1003"/>
        </w:numPr>
        <w:pStyle w:val="Compact"/>
      </w:pPr>
      <w:r>
        <w:t xml:space="preserve">Cohen, J., &amp; Greaves, R. (2018). The changing role of the academic editor in open access publishing.</w:t>
      </w:r>
    </w:p>
    <w:p>
      <w:pPr>
        <w:numPr>
          <w:ilvl w:val="0"/>
          <w:numId w:val="1003"/>
        </w:numPr>
        <w:pStyle w:val="Compact"/>
      </w:pPr>
      <w:r>
        <w:t xml:space="preserve">Institut National de la Santé et de la Recherche Médicale (INSERM). (2021). Open Science Frameworks in France.</w:t>
      </w:r>
    </w:p>
    <w:p>
      <w:pPr>
        <w:numPr>
          <w:ilvl w:val="0"/>
          <w:numId w:val="1003"/>
        </w:numPr>
        <w:pStyle w:val="Compact"/>
      </w:pPr>
      <w:r>
        <w:t xml:space="preserve">Council of Science Editors. (2023). Scientific Publishing: A Guide for Authors and Editors.</w:t>
      </w:r>
    </w:p>
    <w:bookmarkEnd w:id="36"/>
    <w:bookmarkEnd w:id="37"/>
    <w:p>
      <w:pPr>
        <w:pStyle w:val="FirstParagraph"/>
      </w:pPr>
      <w:r>
        <w:t xml:space="preserve">© 2023 Academic Editorial Research Group. All Rights Reserved.</w:t>
      </w:r>
      <w:r>
        <w:br/>
      </w:r>
      <w:r>
        <w:t xml:space="preserve">Presented in Lyon, France. Focus: Editor Role in Global Science.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Editor in Academic Publishing</dc:title>
  <dc:creator/>
  <dc:language>en</dc:language>
  <cp:keywords/>
  <dcterms:created xsi:type="dcterms:W3CDTF">2026-07-29T20:48:16Z</dcterms:created>
  <dcterms:modified xsi:type="dcterms:W3CDTF">2026-07-29T20:48:16Z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