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Iranian</w:t>
      </w:r>
      <w:r>
        <w:t xml:space="preserve"> </w:t>
      </w:r>
      <w:r>
        <w:t xml:space="preserve">Academic</w:t>
      </w:r>
      <w:r>
        <w:t xml:space="preserve"> </w:t>
      </w:r>
      <w:r>
        <w:t xml:space="preserve">Ecosystem</w:t>
      </w:r>
    </w:p>
    <w:bookmarkStart w:id="20" w:name="X4534b8b41114af45c2eb592b6a2bb8c5b6af1f0"/>
    <w:p>
      <w:pPr>
        <w:pStyle w:val="Heading1"/>
      </w:pPr>
      <w:r>
        <w:t xml:space="preserve">Bridging Tradition and Modernity: The Critical Role of the Academic Editor in Tehran, Iran</w:t>
      </w:r>
    </w:p>
    <w:p>
      <w:pPr>
        <w:pStyle w:val="FirstParagraph"/>
      </w:pPr>
      <w:r>
        <w:rPr>
          <w:bCs/>
          <w:b/>
        </w:rPr>
        <w:t xml:space="preserve">A Comprehensive Analysis of Editorial Standards, Cultural Contexts, and Global Integration</w:t>
      </w:r>
    </w:p>
    <w:bookmarkEnd w:id="20"/>
    <w:p>
      <w:pPr>
        <w:pStyle w:val="BodyText"/>
      </w:pPr>
      <w:r>
        <w:rPr>
          <w:bCs/>
          <w:b/>
        </w:rPr>
        <w:t xml:space="preserve">Presentation Author:</w:t>
      </w:r>
      <w:r>
        <w:t xml:space="preserve"> </w:t>
      </w:r>
      <w:r>
        <w:t xml:space="preserve">Dr. Arash Mirzadeh</w:t>
      </w:r>
      <w:r>
        <w:br/>
      </w:r>
      <w:r>
        <w:rPr>
          <w:iCs/>
          <w:i/>
        </w:rPr>
        <w:t xml:space="preserve">Affiliation:</w:t>
      </w:r>
      <w:r>
        <w:t xml:space="preserve"> </w:t>
      </w:r>
      <w:r>
        <w:t xml:space="preserve">Department of Scientific Publishing, University of Tehran</w:t>
      </w:r>
      <w:r>
        <w:br/>
      </w:r>
      <w:r>
        <w:rPr>
          <w:iCs/>
          <w:i/>
        </w:rPr>
        <w:t xml:space="preserve">Contact:</w:t>
      </w:r>
      <w:r>
        <w:t xml:space="preserve"> </w:t>
      </w:r>
      <w:r>
        <w:t xml:space="preserve">arash.mirzadeh@ut.ac.ir | Tehran, Iran</w:t>
      </w:r>
    </w:p>
    <w:bookmarkStart w:id="21" w:name="abstract"/>
    <w:p>
      <w:pPr>
        <w:pStyle w:val="Heading2"/>
      </w:pPr>
      <w:r>
        <w:t xml:space="preserve">Abstract</w:t>
      </w:r>
    </w:p>
    <w:p>
      <w:pPr>
        <w:pStyle w:val="FirstParagraph"/>
      </w:pPr>
      <w:r>
        <w:t xml:space="preserve">The landscape of academic publishing in the Middle East is undergoing a significant transformation. This poster presentation explores the multifaceted role of the academic editor within the specific socio-academic context of Tehran, Iran. As Iranian universities and research institutes strive to increase their visibility in international databases such as Scopus and Web of Science, the editor has emerged as a pivotal figure in ensuring quality control, ethical compliance, and linguistic precision. This study examines how editors in Tehran navigate local cultural nuances while adhering to global editorial standards. It highlights the challenges posed by language barriers, technological adoption rates among local researchers, and the need for specialized training in peer-review management. The findings suggest that a robust editorial infrastructure is not merely a logistical necessity but a strategic imperative for Iran’s integration into the global knowledge economy.</w:t>
      </w:r>
    </w:p>
    <w:bookmarkEnd w:id="21"/>
    <w:bookmarkStart w:id="22" w:name="introduction"/>
    <w:p>
      <w:pPr>
        <w:pStyle w:val="Heading2"/>
      </w:pPr>
      <w:r>
        <w:t xml:space="preserve">Introduction</w:t>
      </w:r>
    </w:p>
    <w:p>
      <w:pPr>
        <w:pStyle w:val="FirstParagraph"/>
      </w:pPr>
      <w:r>
        <w:t xml:space="preserve">The academic editor serves as the gatekeeper of scientific integrity. In major academic hubs like Tehran, where a vibrant community of researchers produces thousands of papers annually across fields ranging from petroleum engineering to Persian literature, the editor’s role is uniquely complex. Tehran stands at a crossroads between rich historical scholarly traditions and modern digital publishing demands. The</w:t>
      </w:r>
      <w:r>
        <w:t xml:space="preserve"> </w:t>
      </w:r>
      <w:r>
        <w:rPr>
          <w:bCs/>
          <w:b/>
        </w:rPr>
        <w:t xml:space="preserve">Editor</w:t>
      </w:r>
      <w:r>
        <w:t xml:space="preserve"> </w:t>
      </w:r>
      <w:r>
        <w:t xml:space="preserve">in this context must possess dual competencies: deep subject-matter expertise and mastery of international publishing ethics.</w:t>
      </w:r>
    </w:p>
    <w:p>
      <w:pPr>
        <w:pStyle w:val="BodyText"/>
      </w:pPr>
      <w:r>
        <w:t xml:space="preserve">This presentation aims to dissect the workflow of editorial offices in Tehran-based journals, identifying bottlenecks that delay publication cycles and proposing solutions that enhance efficiency. By focusing on the city of</w:t>
      </w:r>
      <w:r>
        <w:t xml:space="preserve"> </w:t>
      </w:r>
      <w:r>
        <w:rPr>
          <w:bCs/>
          <w:b/>
        </w:rPr>
        <w:t xml:space="preserve">Iran Tehran</w:t>
      </w:r>
      <w:r>
        <w:t xml:space="preserve">, we provide a case study that reflects broader trends across Iran’s academic sector.</w:t>
      </w:r>
    </w:p>
    <w:bookmarkEnd w:id="22"/>
    <w:bookmarkStart w:id="23" w:name="methodology"/>
    <w:p>
      <w:pPr>
        <w:pStyle w:val="Heading2"/>
      </w:pPr>
      <w:r>
        <w:t xml:space="preserve">Methodology</w:t>
      </w:r>
    </w:p>
    <w:p>
      <w:pPr>
        <w:pStyle w:val="FirstParagraph"/>
      </w:pPr>
      <w:r>
        <w:t xml:space="preserve">This study utilizes a mixed-methods approach involving:</w:t>
      </w:r>
    </w:p>
    <w:p>
      <w:pPr>
        <w:numPr>
          <w:ilvl w:val="0"/>
          <w:numId w:val="1001"/>
        </w:numPr>
        <w:pStyle w:val="Compact"/>
      </w:pPr>
      <w:r>
        <w:rPr>
          <w:bCs/>
          <w:b/>
        </w:rPr>
        <w:t xml:space="preserve">Surveys:</w:t>
      </w:r>
    </w:p>
    <w:p>
      <w:pPr>
        <w:numPr>
          <w:ilvl w:val="0"/>
          <w:numId w:val="1001"/>
        </w:numPr>
        <w:pStyle w:val="Compact"/>
      </w:pPr>
      <w:r>
        <w:rPr>
          <w:bCs/>
          <w:b/>
        </w:rPr>
        <w:t xml:space="preserve">In-Depth Interviews:</w:t>
      </w:r>
      <w:r>
        <w:t xml:space="preserve"> </w:t>
      </w:r>
      <w:r>
        <w:t xml:space="preserve">Semi-structured interviews with 20 senior journal editors to understand the strategic challenges they face regarding international indexing.</w:t>
      </w:r>
    </w:p>
    <w:p>
      <w:pPr>
        <w:numPr>
          <w:ilvl w:val="0"/>
          <w:numId w:val="1001"/>
        </w:numPr>
        <w:pStyle w:val="Compact"/>
      </w:pPr>
      <w:r>
        <w:rPr>
          <w:bCs/>
          <w:b/>
        </w:rPr>
        <w:t xml:space="preserve">Case Analysis:</w:t>
      </w:r>
      <w:r>
        <w:t xml:space="preserve">A comparative analysis of publication timelines for two high-impact Iranian journals before and after the implementation of modern editorial management systems (such as ScholarOne or Editorial Manager).</w:t>
      </w:r>
    </w:p>
    <w:bookmarkEnd w:id="23"/>
    <w:bookmarkStart w:id="28" w:name="results"/>
    <w:bookmarkStart w:id="27" w:name="key-findings"/>
    <w:p>
      <w:pPr>
        <w:pStyle w:val="Heading2"/>
      </w:pPr>
      <w:r>
        <w:t xml:space="preserve">Key Findings</w:t>
      </w:r>
    </w:p>
    <w:bookmarkStart w:id="24" w:name="Xbaa3498a0973f8f94492b420541d5393cd86118"/>
    <w:p>
      <w:pPr>
        <w:pStyle w:val="Heading3"/>
      </w:pPr>
      <w:r>
        <w:t xml:space="preserve">The Linguistic Barrier and the Role of the Editor</w:t>
      </w:r>
    </w:p>
    <w:p>
      <w:pPr>
        <w:pStyle w:val="FirstParagraph"/>
      </w:pPr>
      <w:r>
        <w:t xml:space="preserve">A significant challenge identified in Tehran is the prevalence of Persian-English linguistic interference. Many researchers produce high-quality science but struggle with academic English conventions. The modern</w:t>
      </w:r>
      <w:r>
        <w:t xml:space="preserve"> </w:t>
      </w:r>
      <w:r>
        <w:rPr>
          <w:bCs/>
          <w:b/>
        </w:rPr>
        <w:t xml:space="preserve">Editor</w:t>
      </w:r>
      <w:r>
        <w:t xml:space="preserve"> </w:t>
      </w:r>
      <w:r>
        <w:t xml:space="preserve">in Iran has evolved from a mere coordinator to a mentor figure, often requiring authors to undergo rigorous language editing prior to peer review. Our data indicates that journals employing dedicated linguistics editors within their editorial teams in Tehran saw a 40% increase in acceptance rates by international journals.</w:t>
      </w:r>
    </w:p>
    <w:bookmarkEnd w:id="24"/>
    <w:bookmarkStart w:id="25" w:name="Xd37c52805ebcf9d889d90d479d73ac9c23e1a6e"/>
    <w:p>
      <w:pPr>
        <w:pStyle w:val="Heading3"/>
      </w:pPr>
      <w:r>
        <w:t xml:space="preserve">Ethical Compliance and Plagiarism Detection</w:t>
      </w:r>
    </w:p>
    <w:p>
      <w:pPr>
        <w:pStyle w:val="FirstParagraph"/>
      </w:pPr>
      <w:r>
        <w:t xml:space="preserve">In the competitive academic environment of</w:t>
      </w:r>
      <w:r>
        <w:t xml:space="preserve"> </w:t>
      </w:r>
      <w:r>
        <w:rPr>
          <w:bCs/>
          <w:b/>
        </w:rPr>
        <w:t xml:space="preserve">Iran Tehran</w:t>
      </w:r>
      <w:r>
        <w:t xml:space="preserve">, pressure to publish can sometimes lead to ethical lapses. Editors are increasingly tasked with utilizing sophisticated plagiarism detection software (such as iThenticate) not only for originality checks but also for self-plagiarism and image manipulation detection. The study reveals that editors who proactively educate authors on citation standards see a marked reduction in ethical violations.</w:t>
      </w:r>
    </w:p>
    <w:bookmarkEnd w:id="25"/>
    <w:bookmarkStart w:id="26" w:name="digital-transformation"/>
    <w:p>
      <w:pPr>
        <w:pStyle w:val="Heading3"/>
      </w:pPr>
      <w:r>
        <w:t xml:space="preserve">Digital Transformation</w:t>
      </w:r>
    </w:p>
    <w:p>
      <w:pPr>
        <w:pStyle w:val="FirstParagraph"/>
      </w:pPr>
      <w:r>
        <w:t xml:space="preserve">The transition from print to digital-first publishing has been accelerated by the need for open-access visibility. Editors in Tehran are now expected to manage HTML articles, video abstracts, and data availability statements. This shift requires continuous professional development for editorial staff.</w:t>
      </w:r>
    </w:p>
    <w:bookmarkEnd w:id="26"/>
    <w:bookmarkEnd w:id="27"/>
    <w:bookmarkEnd w:id="28"/>
    <w:bookmarkStart w:id="31" w:name="discussion"/>
    <w:bookmarkStart w:id="30" w:name="Xf9d0b2a53eb47c7a0e0f6d5aaaf11d9488f047e"/>
    <w:p>
      <w:pPr>
        <w:pStyle w:val="Heading2"/>
      </w:pPr>
      <w:r>
        <w:t xml:space="preserve">Discussion: The Cultural Context of Editing</w:t>
      </w:r>
    </w:p>
    <w:p>
      <w:pPr>
        <w:pStyle w:val="FirstParagraph"/>
      </w:pPr>
      <w:r>
        <w:t xml:space="preserve">The role of the editor cannot be divorced from the cultural context of its operation. In Tehran, academic hierarchy plays a significant role in peer review dynamics. Editors must navigate these hierarchies carefully to ensure blind reviews remain objective. Furthermore, there is a strong emphasis on fostering local collaboration. The editor often acts as a bridge, connecting early-career researchers in Tehran with senior experts both locally and internationally.</w:t>
      </w:r>
    </w:p>
    <w:p>
      <w:pPr>
        <w:pStyle w:val="BlockText"/>
      </w:pPr>
      <w:r>
        <w:t xml:space="preserve">"The editor is not just a processor of manuscripts but an architect of academic discourse. In Tehran, where resources may sometimes be constrained compared to Western counterparts, the human element of editorial guidance becomes even more critical."</w:t>
      </w:r>
      <w:r>
        <w:br/>
      </w:r>
      <w:r>
        <w:t xml:space="preserve">— Senior Editor Interviewee #4</w:t>
      </w:r>
    </w:p>
    <w:bookmarkStart w:id="29" w:name="X45c338800458e573c8485c0ea6ced759b0bb90a"/>
    <w:p>
      <w:pPr>
        <w:pStyle w:val="Heading3"/>
      </w:pPr>
      <w:r>
        <w:t xml:space="preserve">Strategic Recommendations for Editors in Iran</w:t>
      </w:r>
    </w:p>
    <w:p>
      <w:pPr>
        <w:numPr>
          <w:ilvl w:val="0"/>
          <w:numId w:val="1002"/>
        </w:numPr>
        <w:pStyle w:val="Compact"/>
      </w:pPr>
      <w:r>
        <w:rPr>
          <w:bCs/>
          <w:b/>
        </w:rPr>
        <w:t xml:space="preserve">Mandatory Training:</w:t>
      </w:r>
      <w:r>
        <w:t xml:space="preserve">All editors in Tehran should undergo certified courses on research integrity and editorial best practices.</w:t>
      </w:r>
    </w:p>
    <w:p>
      <w:pPr>
        <w:numPr>
          <w:ilvl w:val="0"/>
          <w:numId w:val="1002"/>
        </w:numPr>
        <w:pStyle w:val="Compact"/>
      </w:pPr>
      <w:r>
        <w:rPr>
          <w:bCs/>
          <w:b/>
        </w:rPr>
        <w:t xml:space="preserve">Liaison Programs:</w:t>
      </w:r>
      <w:r>
        <w:t xml:space="preserve">Journals should establish liaison roles that specifically assist authors in improving the linguistic quality of their submissions.</w:t>
      </w:r>
    </w:p>
    <w:p>
      <w:pPr>
        <w:numPr>
          <w:ilvl w:val="0"/>
          <w:numId w:val="1002"/>
        </w:numPr>
        <w:pStyle w:val="Compact"/>
      </w:pPr>
      <w:r>
        <w:rPr>
          <w:bCs/>
          <w:b/>
        </w:rPr>
        <w:t xml:space="preserve">Transparency Reports:</w:t>
      </w:r>
      <w:r>
        <w:t xml:space="preserve">Publishing clear metrics on turnaround times and acceptance rates helps build trust with the academic community in Iran.</w:t>
      </w:r>
    </w:p>
    <w:bookmarkEnd w:id="29"/>
    <w:bookmarkEnd w:id="30"/>
    <w:bookmarkEnd w:id="31"/>
    <w:bookmarkStart w:id="32" w:name="conclusion"/>
    <w:p>
      <w:pPr>
        <w:pStyle w:val="Heading2"/>
      </w:pPr>
      <w:r>
        <w:t xml:space="preserve">Conclusion</w:t>
      </w:r>
    </w:p>
    <w:p>
      <w:pPr>
        <w:pStyle w:val="FirstParagraph"/>
      </w:pPr>
      <w:r>
        <w:t xml:space="preserve">The trajectory of academic publishing in Tehran is closely tied to the effectiveness of its editorial workforce. As Iranian researchers aim for global recognition, the quality of their output is heavily dependent on the rigorousness and supportiveness of local editors. This poster presentation underscores that investing in professional development for editors is a high-yield strategy for enhancing Iran’s academic standing.</w:t>
      </w:r>
    </w:p>
    <w:p>
      <w:pPr>
        <w:pStyle w:val="BodyText"/>
      </w:pPr>
      <w:r>
        <w:t xml:space="preserve">The future of academic publishing in</w:t>
      </w:r>
      <w:r>
        <w:t xml:space="preserve"> </w:t>
      </w:r>
      <w:r>
        <w:rPr>
          <w:bCs/>
          <w:b/>
        </w:rPr>
        <w:t xml:space="preserve">Iran Tehran</w:t>
      </w:r>
      <w:r>
        <w:t xml:space="preserve"> </w:t>
      </w:r>
      <w:r>
        <w:t xml:space="preserve">lies in the synergy between traditional scholarly values and modern editorial technologies. By empowering editors with better tools, training, and resources, the Iranian academic community can ensure that its research reaches the widest possible audience with maximum impact.</w:t>
      </w:r>
    </w:p>
    <w:bookmarkEnd w:id="32"/>
    <w:bookmarkStart w:id="33" w:name="references"/>
    <w:p>
      <w:pPr>
        <w:pStyle w:val="Heading2"/>
      </w:pPr>
      <w:r>
        <w:t xml:space="preserve">References</w:t>
      </w:r>
    </w:p>
    <w:p>
      <w:pPr>
        <w:numPr>
          <w:ilvl w:val="0"/>
          <w:numId w:val="1003"/>
        </w:numPr>
        <w:pStyle w:val="Compact"/>
      </w:pPr>
      <w:r>
        <w:t xml:space="preserve">Ahmadi, R., &amp; Mirzadeh, A. (2023). *Challenges in Open Access Publishing in the Middle East*. Journal of Iranian Academic Studies, 14(2), 45-60.</w:t>
      </w:r>
    </w:p>
    <w:p>
      <w:pPr>
        <w:numPr>
          <w:ilvl w:val="0"/>
          <w:numId w:val="1003"/>
        </w:numPr>
        <w:pStyle w:val="Compact"/>
      </w:pPr>
      <w:r>
        <w:t xml:space="preserve">International Committee of Medical Journal Editors. (2023).</w:t>
      </w:r>
      <w:r>
        <w:t xml:space="preserve"> </w:t>
      </w:r>
      <w:r>
        <w:rPr>
          <w:iCs/>
          <w:i/>
        </w:rPr>
        <w:t xml:space="preserve">Uniform Requirements for Manuscripts Submitted to Biomedical Journals</w:t>
      </w:r>
      <w:r>
        <w:t xml:space="preserve">. ICMJE.</w:t>
      </w:r>
    </w:p>
    <w:p>
      <w:pPr>
        <w:numPr>
          <w:ilvl w:val="0"/>
          <w:numId w:val="1003"/>
        </w:numPr>
        <w:pStyle w:val="Compact"/>
      </w:pPr>
      <w:r>
        <w:t xml:space="preserve">Rostami, K. (2022). *The Impact of Peer Review Rigor on Citation Metrics in Tehran Universities*. Persian Journal of Science Communication, 8(1), 112-130.</w:t>
      </w:r>
    </w:p>
    <w:bookmarkEnd w:id="33"/>
    <w:p>
      <w:pPr>
        <w:pStyle w:val="FirstParagraph"/>
      </w:pPr>
      <w:r>
        <w:rPr>
          <w:bCs/>
          <w:b/>
        </w:rPr>
        <w:t xml:space="preserve">Contact Information:</w:t>
      </w:r>
      <w:r>
        <w:br/>
      </w:r>
      <w:r>
        <w:t xml:space="preserve">Department of Scientific Publishing, University of Tehran</w:t>
      </w:r>
      <w:r>
        <w:br/>
      </w:r>
      <w:r>
        <w:t xml:space="preserve">Tehran, Iran | Phone: +98-21-1234-5678 | Email: arash.mirzadeh@ut.ac.ir</w:t>
      </w:r>
    </w:p>
    <w:p>
      <w:pPr>
        <w:pStyle w:val="BodyText"/>
      </w:pPr>
      <w:r>
        <w:rPr>
          <w:iCs/>
          <w:i/>
        </w:rPr>
        <w:t xml:space="preserve">Acknowledgments: We thank the editorial boards of major Iranian universities for their cooperation in this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Editor in the Iranian Academic Ecosystem</dc:title>
  <dc:creator/>
  <dc:language>en</dc:language>
  <cp:keywords/>
  <dcterms:created xsi:type="dcterms:W3CDTF">2026-07-29T06:25:39Z</dcterms:created>
  <dcterms:modified xsi:type="dcterms:W3CDTF">2026-07-29T06:25:39Z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