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Editor</w:t>
      </w:r>
      <w:r>
        <w:t xml:space="preserve"> </w:t>
      </w:r>
      <w:r>
        <w:t xml:space="preserve">as</w:t>
      </w:r>
      <w:r>
        <w:t xml:space="preserve"> </w:t>
      </w:r>
      <w:r>
        <w:t xml:space="preserve">a</w:t>
      </w:r>
      <w:r>
        <w:t xml:space="preserve"> </w:t>
      </w:r>
      <w:r>
        <w:t xml:space="preserve">Curatorial</w:t>
      </w:r>
      <w:r>
        <w:t xml:space="preserve"> </w:t>
      </w:r>
      <w:r>
        <w:t xml:space="preserve">Agent:</w:t>
      </w:r>
      <w:r>
        <w:t xml:space="preserve"> </w:t>
      </w:r>
      <w:r>
        <w:t xml:space="preserve">Bridging</w:t>
      </w:r>
      <w:r>
        <w:t xml:space="preserve"> </w:t>
      </w:r>
      <w:r>
        <w:t xml:space="preserve">Global</w:t>
      </w:r>
      <w:r>
        <w:t xml:space="preserve"> </w:t>
      </w:r>
      <w:r>
        <w:t xml:space="preserve">Scholarship</w:t>
      </w:r>
      <w:r>
        <w:t xml:space="preserve"> </w:t>
      </w:r>
      <w:r>
        <w:t xml:space="preserve">and</w:t>
      </w:r>
      <w:r>
        <w:t xml:space="preserve"> </w:t>
      </w:r>
      <w:r>
        <w:t xml:space="preserve">the</w:t>
      </w:r>
      <w:r>
        <w:t xml:space="preserve"> </w:t>
      </w:r>
      <w:r>
        <w:t xml:space="preserve">Academic</w:t>
      </w:r>
      <w:r>
        <w:t xml:space="preserve"> </w:t>
      </w:r>
      <w:r>
        <w:t xml:space="preserve">Landscape</w:t>
      </w:r>
      <w:r>
        <w:t xml:space="preserve"> </w:t>
      </w:r>
      <w:r>
        <w:t xml:space="preserve">of</w:t>
      </w:r>
      <w:r>
        <w:t xml:space="preserve"> </w:t>
      </w:r>
      <w:r>
        <w:t xml:space="preserve">Israel</w:t>
      </w:r>
      <w:r>
        <w:t xml:space="preserve"> </w:t>
      </w:r>
      <w:r>
        <w:t xml:space="preserve">Tel</w:t>
      </w:r>
      <w:r>
        <w:t xml:space="preserve"> </w:t>
      </w:r>
      <w:r>
        <w:t xml:space="preserve">Aviv</w:t>
      </w:r>
    </w:p>
    <w:p>
      <w:pPr>
        <w:pStyle w:val="FirstParagraph"/>
      </w:pPr>
      <w:r>
        <w:t xml:space="preserve">The Editor as a Curatorial Agent: Navigating Global Standards in the Academic Landscape of Israel Tel Aviv</w:t>
      </w:r>
    </w:p>
    <w:p>
      <w:pPr>
        <w:pStyle w:val="BodyText"/>
      </w:pPr>
      <w:r>
        <w:t xml:space="preserve">A Critical Analysis of Peer Review, Digital Innovation, and Regional Scholarship Integration</w:t>
      </w:r>
    </w:p>
    <w:p>
      <w:pPr>
        <w:pStyle w:val="BodyText"/>
      </w:pPr>
      <w:r>
        <w:t xml:space="preserve">Poster Presentation Outline for International Symposium on Research Ethics and Publishing Practices</w:t>
      </w:r>
    </w:p>
    <w:p>
      <w:pPr>
        <w:pStyle w:val="BodyText"/>
      </w:pPr>
      <w:r>
        <w:t xml:space="preserve">Presented at the Global Academic Forum, Tel Aviv University Campus, Israel</w:t>
      </w:r>
    </w:p>
    <w:p>
      <w:pPr>
        <w:pStyle w:val="BodyText"/>
      </w:pPr>
      <w:r>
        <w:br/>
      </w:r>
    </w:p>
    <w:p>
      <w:r>
        <w:pict>
          <v:rect style="width:0;height:1.5pt" o:hralign="center" o:hrstd="t" o:hr="t"/>
        </w:pict>
      </w:r>
    </w:p>
    <w:p>
      <w:pPr>
        <w:pStyle w:val="FirstParagraph"/>
      </w:pPr>
      <w:r>
        <w:br/>
      </w:r>
    </w:p>
    <w:bookmarkStart w:id="20" w:name="abstract"/>
    <w:p>
      <w:pPr>
        <w:pStyle w:val="Heading3"/>
      </w:pPr>
      <w:r>
        <w:t xml:space="preserve">Abstract</w:t>
      </w:r>
    </w:p>
    <w:p>
      <w:pPr>
        <w:pStyle w:val="FirstParagraph"/>
      </w:pPr>
      <w:r>
        <w:t xml:space="preserve">The role of the modern Editor has transcended traditional gatekeeping to become a strategic architect of global discourse. This presentation critically examines how Editors operate as vital curatorial agents in shaping research integrity, particularly within the vibrant and rapidly evolving academic ecosystem of Israel Tel Aviv. As a city known for its technological innovation and high density of international universities,</w:t>
      </w:r>
      <w:r>
        <w:t xml:space="preserve"> </w:t>
      </w:r>
      <w:r>
        <w:rPr>
          <w:bCs/>
          <w:b/>
        </w:rPr>
        <w:t xml:space="preserve">Israel Tel Aviv</w:t>
      </w:r>
      <w:r>
        <w:t xml:space="preserve"> </w:t>
      </w:r>
      <w:r>
        <w:t xml:space="preserve">serves as an ideal case study for understanding the intersection of local cultural nuance and global publishing standards. This document argues that effective Editorship requires more than merely correcting syntax; it demands a nuanced understanding of cross-cultural academic communication, digital infrastructure management, and ethical rigor. By analyzing specific challenges faced by researchers in the Tel Aviv region—ranging from linguistic diversity to interdisciplinary collaboration—we highlight how Editors can foster inclusivity while maintaining the highest standards of scholarly precision.</w:t>
      </w:r>
    </w:p>
    <w:bookmarkEnd w:id="20"/>
    <w:bookmarkStart w:id="21" w:name="the-evolving-role-of-the-editor"/>
    <w:p>
      <w:pPr>
        <w:pStyle w:val="Heading3"/>
      </w:pPr>
      <w:r>
        <w:t xml:space="preserve">The Evolving Role of the Editor</w:t>
      </w:r>
    </w:p>
    <w:p>
      <w:pPr>
        <w:pStyle w:val="FirstParagraph"/>
      </w:pPr>
      <w:r>
        <w:t xml:space="preserve">In contemporary academia, the concept of an Editor must be redefined. Historically viewed merely as text processors or final arbiters of acceptance, today's Editors are strategic partners in research development. They act as mentors, ensuring that a manuscript not only meets technical requirements but also articulates its significance to a global audience. This shift is particularly crucial when dealing with scholars from non-English speaking backgrounds who publish in international journals based in Europe or North America. The Editor serves as the bridge between local insights and universal applicability. For instance, an Editor reviewing a study originating from a hospital in</w:t>
      </w:r>
      <w:r>
        <w:t xml:space="preserve"> </w:t>
      </w:r>
      <w:r>
        <w:rPr>
          <w:bCs/>
          <w:b/>
        </w:rPr>
        <w:t xml:space="preserve">Israel Tel Aviv</w:t>
      </w:r>
      <w:r>
        <w:t xml:space="preserve"> </w:t>
      </w:r>
      <w:r>
        <w:t xml:space="preserve">must ensure that the clinical methodologies described are understandable to researchers abroad, without diluting the specific contextual relevance of Israeli healthcare data.</w:t>
      </w:r>
    </w:p>
    <w:bookmarkEnd w:id="21"/>
    <w:bookmarkStart w:id="22" w:name="X59bcdf5af085754d34c2e4a47503be29d65674e"/>
    <w:p>
      <w:pPr>
        <w:pStyle w:val="Heading3"/>
      </w:pPr>
      <w:r>
        <w:t xml:space="preserve">The Unique Academic Fabric of Israel Tel Aviv</w:t>
      </w:r>
    </w:p>
    <w:p>
      <w:pPr>
        <w:pStyle w:val="FirstParagraph"/>
      </w:pPr>
      <w:r>
        <w:rPr>
          <w:bCs/>
          <w:b/>
        </w:rPr>
        <w:t xml:space="preserve">Israel Tel Aviv</w:t>
      </w:r>
      <w:r>
        <w:t xml:space="preserve"> </w:t>
      </w:r>
      <w:r>
        <w:t xml:space="preserve">stands as a global hub for biotechnology, computer science, and social sciences. However, the academic output from this region faces unique challenges. The university environment here is intensely multicultural; researchers hail from diverse linguistic backgrounds including Russian-speaking diasporas, Arab-Israeli communities, and international expatriates. Consequently, manuscripts produced in Tel Aviv often carry distinct rhetorical structures that may differ from Western norms of argumentation. An Editor working with or reviewing work for this demographic must possess "cultural competence." This involves recognizing that a directness valued in some Middle Eastern academic traditions might be misinterpreted as aggression in Anglophone contexts, and vice versa. The Editor's task is to mediate these stylistic differences, ensuring the</w:t>
      </w:r>
      <w:r>
        <w:t xml:space="preserve"> </w:t>
      </w:r>
      <w:r>
        <w:rPr>
          <w:bCs/>
          <w:b/>
        </w:rPr>
        <w:t xml:space="preserve">Editor</w:t>
      </w:r>
      <w:r>
        <w:t xml:space="preserve">'ial process enhances clarity without stripping the manuscript of its authentic voice.</w:t>
      </w:r>
    </w:p>
    <w:bookmarkEnd w:id="22"/>
    <w:bookmarkStart w:id="23" w:name="digital-tools-and-editorial-efficiency"/>
    <w:p>
      <w:pPr>
        <w:pStyle w:val="Heading3"/>
      </w:pPr>
      <w:r>
        <w:t xml:space="preserve">Digital Tools and Editorial Efficiency</w:t>
      </w:r>
    </w:p>
    <w:p>
      <w:pPr>
        <w:pStyle w:val="FirstParagraph"/>
      </w:pPr>
      <w:r>
        <w:t xml:space="preserve">The integration of artificial intelligence and advanced digital tools into the editorial workflow is reshaping how Editors operate. In a fast-paced environment like</w:t>
      </w:r>
      <w:r>
        <w:t xml:space="preserve"> </w:t>
      </w:r>
      <w:r>
        <w:rPr>
          <w:bCs/>
          <w:b/>
        </w:rPr>
        <w:t xml:space="preserve">Israel Tel Aviv</w:t>
      </w:r>
      <w:r>
        <w:t xml:space="preserve">, where start-up culture influences academic attitudes toward efficiency, Editors are increasingly leveraging automated screening tools for plagiarism detection and basic grammatical checks. However, this technological reliance poses risks. Algorithmic bias can inadvertently filter out novel methodologies that do not fit standard patterns. Therefore, the human element of the Editor remains indispensable for assessing intellectual novelty and ethical compliance. This presentation proposes a "Hybrid Editorial Model" where AI handles repetitive tasks (formatting, reference checking), allowing the human</w:t>
      </w:r>
      <w:r>
        <w:t xml:space="preserve"> </w:t>
      </w:r>
      <w:r>
        <w:rPr>
          <w:bCs/>
          <w:b/>
        </w:rPr>
        <w:t xml:space="preserve">Editor</w:t>
      </w:r>
      <w:r>
        <w:t xml:space="preserve"> </w:t>
      </w:r>
      <w:r>
        <w:t xml:space="preserve">to focus on deep substantive review. This model is particularly effective in interdisciplinary fields prevalent in Tel Aviv's research hubs.</w:t>
      </w:r>
    </w:p>
    <w:bookmarkEnd w:id="23"/>
    <w:bookmarkStart w:id="24" w:name="bridging-linguistic-and-cultural-divides"/>
    <w:p>
      <w:pPr>
        <w:pStyle w:val="Heading3"/>
      </w:pPr>
      <w:r>
        <w:t xml:space="preserve">Bridging Linguistic and Cultural Divides</w:t>
      </w:r>
    </w:p>
    <w:p>
      <w:pPr>
        <w:pStyle w:val="FirstParagraph"/>
      </w:pPr>
      <w:r>
        <w:t xml:space="preserve">Linguistic barriers remain the primary obstacle for researchers aiming to publish in high-impact journals. Many talented scientists in</w:t>
      </w:r>
      <w:r>
        <w:t xml:space="preserve"> </w:t>
      </w:r>
      <w:r>
        <w:rPr>
          <w:bCs/>
          <w:b/>
        </w:rPr>
        <w:t xml:space="preserve">Israel Tel Aviv</w:t>
      </w:r>
      <w:r>
        <w:t xml:space="preserve"> </w:t>
      </w:r>
      <w:r>
        <w:t xml:space="preserve">produce groundbreaking work that languishes due to poor English expression, leading to unfair rejection rates. Editors play a pivotal role here by distinguishing between "language issues" and "conceptual flaws." An effective Editor will provide constructive feedback on phrasing rather than simply rejecting the paper. Furthermore, promoting diversity means encouraging editors from diverse backgrounds themselves. The presence of multilingual Editors can significantly reduce friction in the peer-review process, allowing them to identify subtle nuances that a monolingual reviewer might miss. This inclusivity strengthens the global academic community by validating research outputs from non-Anglophone regions.</w:t>
      </w:r>
    </w:p>
    <w:bookmarkEnd w:id="24"/>
    <w:bookmarkStart w:id="25" w:name="ethical-stewardship-in-a-global-market"/>
    <w:p>
      <w:pPr>
        <w:pStyle w:val="Heading3"/>
      </w:pPr>
      <w:r>
        <w:t xml:space="preserve">Ethical Stewardship in a Global Market</w:t>
      </w:r>
    </w:p>
    <w:p>
      <w:pPr>
        <w:pStyle w:val="FirstParagraph"/>
      </w:pPr>
      <w:r>
        <w:t xml:space="preserve">Ethics is the cornerstone of academic publishing. In</w:t>
      </w:r>
      <w:r>
        <w:t xml:space="preserve"> </w:t>
      </w:r>
      <w:r>
        <w:rPr>
          <w:bCs/>
          <w:b/>
        </w:rPr>
        <w:t xml:space="preserve">Israel Tel Aviv</w:t>
      </w:r>
      <w:r>
        <w:t xml:space="preserve">, where industry-academia partnerships are robust, conflicts of interest can be complex. Editors must rigorously manage disclosures related to funding sources, particularly when research is sponsored by private tech firms or defense contractors prevalent in the region. The Editor acts as a guardian against "salami slicing" (breaking up results into multiple papers) and other questionable practices. This stewardship ensures that the reputation of journals remains intact. By enforcing strict ethical guidelines, Editors protect the integrity of science globally, ensuring that data originating from Tel Aviv contributes to reliable knowledge rather than transient hype.</w:t>
      </w:r>
    </w:p>
    <w:bookmarkEnd w:id="25"/>
    <w:bookmarkStart w:id="26" w:name="conclusion-and-future-directions"/>
    <w:p>
      <w:pPr>
        <w:pStyle w:val="Heading3"/>
      </w:pPr>
      <w:r>
        <w:t xml:space="preserve">Conclusion and Future Directions</w:t>
      </w:r>
    </w:p>
    <w:p>
      <w:pPr>
        <w:pStyle w:val="FirstParagraph"/>
      </w:pPr>
      <w:r>
        <w:t xml:space="preserve">To conclude, the role of the Editor is dynamic, multifaceted, and critically important in the modern scholarly landscape. In regions like</w:t>
      </w:r>
      <w:r>
        <w:t xml:space="preserve"> </w:t>
      </w:r>
      <w:r>
        <w:rPr>
          <w:bCs/>
          <w:b/>
        </w:rPr>
        <w:t xml:space="preserve">Israel Tel Aviv</w:t>
      </w:r>
      <w:r>
        <w:t xml:space="preserve">, where innovation meets diversity, Editors must evolve from passive gatekeepers to active facilitators of global dialogue. They require cultural sensitivity, technological savvy, and unwavering ethical standards. Future editorial policies should prioritize training programs focused on cross-cultural communication and the responsible use of AI tools. By empowering Editors with these skills, we can enhance the visibility and impact of research produced in</w:t>
      </w:r>
      <w:r>
        <w:t xml:space="preserve"> </w:t>
      </w:r>
      <w:r>
        <w:rPr>
          <w:bCs/>
          <w:b/>
        </w:rPr>
        <w:t xml:space="preserve">Israel Tel Aviv</w:t>
      </w:r>
      <w:r>
        <w:t xml:space="preserve"> </w:t>
      </w:r>
      <w:r>
        <w:t xml:space="preserve">and beyond. The ultimate goal is a seamless academic ecosystem where high-quality science transcends borders, facilitated by skilled Editorial leadership that values both rigor and inclusivity.</w:t>
      </w:r>
    </w:p>
    <w:bookmarkEnd w:id="26"/>
    <w:bookmarkStart w:id="27" w:name="select-bibliography"/>
    <w:p>
      <w:pPr>
        <w:pStyle w:val="Heading3"/>
      </w:pPr>
      <w:r>
        <w:t xml:space="preserve">Select Bibliography</w:t>
      </w:r>
    </w:p>
    <w:p>
      <w:pPr>
        <w:pStyle w:val="FirstParagraph"/>
      </w:pPr>
      <w:r>
        <w:rPr>
          <w:iCs/>
          <w:i/>
        </w:rPr>
        <w:t xml:space="preserve">(Note: For the purpose of this poster outline, key references would include studies on cross-cultural academic publishing, reports from the Israel Innovation Authority regarding research output metrics, and guidelines on AI in peer review published by major scientific societies.)</w:t>
      </w:r>
    </w:p>
    <w:bookmarkEnd w:id="27"/>
    <w:p>
      <w:pPr>
        <w:pStyle w:val="BodyText"/>
      </w:pPr>
      <w:r>
        <w:t xml:space="preserve">© 2023 Poster Presentation Series | Hosted in Tel Aviv, Israel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Editor as a Curatorial Agent: Bridging Global Scholarship and the Academic Landscape of Israel Tel Aviv</dc:title>
  <dc:creator/>
  <dc:language>en</dc:language>
  <cp:keywords/>
  <dcterms:created xsi:type="dcterms:W3CDTF">2026-07-29T05:09:31Z</dcterms:created>
  <dcterms:modified xsi:type="dcterms:W3CDTF">2026-07-29T05:09:31Z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