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Editor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the-modern-digital-editor"/>
    <w:p>
      <w:pPr>
        <w:pStyle w:val="Heading1"/>
      </w:pPr>
      <w:r>
        <w:t xml:space="preserve">The Modern Digital Editor</w:t>
      </w:r>
    </w:p>
    <w:p>
      <w:pPr>
        <w:pStyle w:val="FirstParagraph"/>
      </w:pPr>
      <w:r>
        <w:t xml:space="preserve">Bridging Traditional Japanese Aesthetics with Contemporary Publishing Standards in Japan, Kyoto</w:t>
      </w:r>
    </w:p>
    <w:bookmarkEnd w:id="20"/>
    <w:p>
      <w:pPr>
        <w:pStyle w:val="BodyText"/>
      </w:pPr>
      <w:r>
        <w:rPr>
          <w:bCs/>
          <w:b/>
        </w:rPr>
        <w:t xml:space="preserve">Presentation by:</w:t>
      </w:r>
      <w:r>
        <w:t xml:space="preserve"> </w:t>
      </w:r>
      <w:r>
        <w:t xml:space="preserve">Dr. Kenji Sato</w:t>
      </w:r>
      <w:r>
        <w:br/>
      </w:r>
      <w:r>
        <w:t xml:space="preserve">Department of Digital Humanities, Kyoto University</w:t>
      </w:r>
      <w:r>
        <w:br/>
      </w:r>
      <w:r>
        <w:br/>
      </w:r>
      <w:r>
        <w:rPr>
          <w:iCs/>
          <w:i/>
        </w:rPr>
        <w:t xml:space="preserve">Presentation at the International Symposium on Media and Culture</w:t>
      </w:r>
      <w:r>
        <w:br/>
      </w:r>
      <w:r>
        <w:rPr>
          <w:iCs/>
          <w:i/>
        </w:rPr>
        <w:t xml:space="preserve">Kyoto, Japan</w:t>
      </w:r>
    </w:p>
    <w:bookmarkStart w:id="22" w:name="introduction"/>
    <w:bookmarkStart w:id="21" w:name="introduction-the-context-of-kyoto"/>
    <w:p>
      <w:pPr>
        <w:pStyle w:val="Heading2"/>
      </w:pPr>
      <w:r>
        <w:t xml:space="preserve">Introduction: The Context of Kyoto</w:t>
      </w:r>
    </w:p>
    <w:p>
      <w:pPr>
        <w:pStyle w:val="FirstParagraph"/>
      </w:pPr>
      <w:r>
        <w:t xml:space="preserve">Kyoto, the ancient capital of Japan, stands as a profound symbol of cultural preservation and historical depth. For centuries, this city has been the heartland of traditional Japanese arts, literature, and craftsmanship. However in recent years,Kyoto has also emerged as a burgeoning hub for digital innovation and media technology. It is within this unique juxtaposition of the ancient and the modern that we examine the evolving role of the</w:t>
      </w:r>
      <w:r>
        <w:t xml:space="preserve"> </w:t>
      </w:r>
      <w:r>
        <w:rPr>
          <w:bCs/>
          <w:b/>
        </w:rPr>
        <w:t xml:space="preserve">Editor</w:t>
      </w:r>
      <w:r>
        <w:t xml:space="preserve">. This poster presentation explores how contemporary editorial practices are adapting to meet global digital standards while remaining deeply rooted in the specific cultural nuances of Japan.</w:t>
      </w:r>
    </w:p>
    <w:p>
      <w:pPr>
        <w:pStyle w:val="BodyText"/>
      </w:pPr>
      <w:r>
        <w:t xml:space="preserve">The concept of editing has traditionally been viewed through a Western lens, focusing heavily on structural coherence and grammatical precision. However, when applied to the Japanese context, particularly within Kyoto’s scholarly and artistic circles, editing becomes a more nuanced art form. It involves not just correcting text but curating meaning in a way that respects</w:t>
      </w:r>
      <w:r>
        <w:t xml:space="preserve"> </w:t>
      </w:r>
      <w:r>
        <w:rPr>
          <w:iCs/>
          <w:i/>
        </w:rPr>
        <w:t xml:space="preserve">wa</w:t>
      </w:r>
      <w:r>
        <w:t xml:space="preserve"> </w:t>
      </w:r>
      <w:r>
        <w:t xml:space="preserve">(harmony) and</w:t>
      </w:r>
      <w:r>
        <w:t xml:space="preserve"> </w:t>
      </w:r>
      <w:r>
        <w:rPr>
          <w:iCs/>
          <w:i/>
        </w:rPr>
        <w:t xml:space="preserve">kawaii</w:t>
      </w:r>
      <w:r>
        <w:t xml:space="preserve"> </w:t>
      </w:r>
      <w:r>
        <w:t xml:space="preserve">aesthetics, which are intrinsic to Japanese communication styles.</w:t>
      </w:r>
    </w:p>
    <w:bookmarkEnd w:id="21"/>
    <w:bookmarkEnd w:id="22"/>
    <w:bookmarkStart w:id="24" w:name="challenges"/>
    <w:bookmarkStart w:id="23" w:name="X605467be69a98656f07594aa5a0d16cc3fb9283"/>
    <w:p>
      <w:pPr>
        <w:pStyle w:val="Heading2"/>
      </w:pPr>
      <w:r>
        <w:t xml:space="preserve">Challenges for the Editor in a Digital-Traditional Hybrid Landscape</w:t>
      </w:r>
    </w:p>
    <w:p>
      <w:pPr>
        <w:pStyle w:val="FirstParagraph"/>
      </w:pPr>
      <w:r>
        <w:t xml:space="preserve">The modern</w:t>
      </w:r>
      <w:r>
        <w:t xml:space="preserve"> </w:t>
      </w:r>
      <w:r>
        <w:rPr>
          <w:bCs/>
          <w:b/>
        </w:rPr>
        <w:t xml:space="preserve">Editor</w:t>
      </w:r>
      <w:r>
        <w:t xml:space="preserve"> </w:t>
      </w:r>
      <w:r>
        <w:t xml:space="preserve">operating in Japan faces a distinct set of challenges that differ significantly from those in Europe or North America. Firstly, there is the linguistic complexity of Japanese writing systems, which combine Kanji, Hiragana, and Katakana. An editor must possess not only native-level fluency but also an acute sensitivity to context-switching between formal academic registers and casual digital vernacular.</w:t>
      </w:r>
    </w:p>
    <w:p>
      <w:pPr>
        <w:pStyle w:val="BodyText"/>
      </w:pPr>
      <w:r>
        <w:t xml:space="preserve">Furthermore, Kyoto serves as a repository of traditional publishing methods. The city is home to some of Japan’s oldest printing presses and calligraphy schools. An editor here must navigate the tension between high-speed digital production cycles demanded by global platforms and the meticulous, slow-paced craftsmanship valued by local institutions. This duality requires an</w:t>
      </w:r>
      <w:r>
        <w:t xml:space="preserve"> </w:t>
      </w:r>
      <w:r>
        <w:rPr>
          <w:bCs/>
          <w:b/>
        </w:rPr>
        <w:t xml:space="preserve">Editor</w:t>
      </w:r>
      <w:r>
        <w:t xml:space="preserve"> </w:t>
      </w:r>
      <w:r>
        <w:t xml:space="preserve">to be bilingual in both technology and tradition.</w:t>
      </w:r>
    </w:p>
    <w:p>
      <w:pPr>
        <w:pStyle w:val="BodyText"/>
      </w:pPr>
      <w:r>
        <w:t xml:space="preserve">Another critical aspect is the "high-context" nature of Japanese communication. In many Western editorial frameworks, explicit clarity is prioritized above all else. In Kyoto’s academic and literary communities, however, subtlety and implicit meaning are often prized. A rigid adherence to Western editing guidelines can sometimes strip away the necessary nuance that gives Japanese texts their depth. Therefore, the</w:t>
      </w:r>
      <w:r>
        <w:t xml:space="preserve"> </w:t>
      </w:r>
      <w:r>
        <w:rPr>
          <w:bCs/>
          <w:b/>
        </w:rPr>
        <w:t xml:space="preserve">Editor</w:t>
      </w:r>
      <w:r>
        <w:t xml:space="preserve"> </w:t>
      </w:r>
      <w:r>
        <w:t xml:space="preserve">must act as a cultural mediator, ensuring that content is accessible to an international audience without losing its authentic Japanese spirit.</w:t>
      </w:r>
    </w:p>
    <w:bookmarkEnd w:id="23"/>
    <w:bookmarkEnd w:id="24"/>
    <w:bookmarkStart w:id="26" w:name="methodology"/>
    <w:bookmarkStart w:id="25" w:name="Xbfaee3c2d7e1a1d21c73e6d182fdfdabc3dc976"/>
    <w:p>
      <w:pPr>
        <w:pStyle w:val="Heading2"/>
      </w:pPr>
      <w:r>
        <w:t xml:space="preserve">Methodological Approach: The Hybrid Editorial Framework</w:t>
      </w:r>
    </w:p>
    <w:p>
      <w:pPr>
        <w:pStyle w:val="FirstParagraph"/>
      </w:pPr>
      <w:r>
        <w:t xml:space="preserve">To address these challenges, we propose a "Hybrid Editorial Framework" specifically tailored for the Japan-Kyoto context. This methodology integrates three core pillars:</w:t>
      </w:r>
    </w:p>
    <w:p>
      <w:pPr>
        <w:numPr>
          <w:ilvl w:val="0"/>
          <w:numId w:val="1001"/>
        </w:numPr>
        <w:pStyle w:val="Compact"/>
      </w:pPr>
      <w:r>
        <w:rPr>
          <w:bCs/>
          <w:b/>
        </w:rPr>
        <w:t xml:space="preserve">Cultural Sensitivity Training:</w:t>
      </w:r>
      <w:r>
        <w:t xml:space="preserve"> </w:t>
      </w:r>
      <w:r>
        <w:t xml:space="preserve">Editors must undergo rigorous training in Kyoto’s specific cultural etiquette. This includes understanding the hierarchical nuances of academic discourse and the aesthetic preferences of traditional arts patrons.</w:t>
      </w:r>
    </w:p>
    <w:p>
      <w:pPr>
        <w:numPr>
          <w:ilvl w:val="0"/>
          <w:numId w:val="1001"/>
        </w:numPr>
        <w:pStyle w:val="Compact"/>
      </w:pPr>
      <w:r>
        <w:rPr>
          <w:bCs/>
          <w:b/>
        </w:rPr>
        <w:t xml:space="preserve">Digital Tool Integration with Human Oversight:</w:t>
      </w:r>
    </w:p>
    <w:p>
      <w:pPr>
        <w:numPr>
          <w:ilvl w:val="0"/>
          <w:numId w:val="1001"/>
        </w:numPr>
        <w:pStyle w:val="Compact"/>
      </w:pPr>
      <w:r>
        <w:rPr>
          <w:bCs/>
          <w:b/>
        </w:rPr>
        <w:t xml:space="preserve">Collaborative Curation:</w:t>
      </w:r>
      <w:r>
        <w:t xml:space="preserve"> </w:t>
      </w:r>
      <w:r>
        <w:t xml:space="preserve">Instead of a top-down editorial process, we encourage a collaborative model where authors (often scholars or artists from Kyoto University or local cultural institutions) work closely with editors to refine the narrative voice. This respects the author's intent while ensuring global readability.</w:t>
      </w:r>
    </w:p>
    <w:bookmarkEnd w:id="25"/>
    <w:bookmarkEnd w:id="26"/>
    <w:bookmarkStart w:id="28" w:name="case-studies"/>
    <w:bookmarkStart w:id="27" w:name="case-studies-editors-in-action"/>
    <w:p>
      <w:pPr>
        <w:pStyle w:val="Heading2"/>
      </w:pPr>
      <w:r>
        <w:t xml:space="preserve">Case Studies: Editors in Action</w:t>
      </w:r>
    </w:p>
    <w:p>
      <w:pPr>
        <w:pStyle w:val="FirstParagraph"/>
      </w:pPr>
      <w:r>
        <w:t xml:space="preserve">To illustrate these concepts, we present two case studies from recent projects based in Kyoto. The first case study involves the digitization of Heian-period literature. Here, the role of the</w:t>
      </w:r>
      <w:r>
        <w:t xml:space="preserve"> </w:t>
      </w:r>
      <w:r>
        <w:rPr>
          <w:bCs/>
          <w:b/>
        </w:rPr>
        <w:t xml:space="preserve">Editor</w:t>
      </w:r>
      <w:r>
        <w:t xml:space="preserve"> </w:t>
      </w:r>
      <w:r>
        <w:t xml:space="preserve">was not merely to translate text but to annotate it for a digital platform that appeals to both scholars and tourists. The editor had to balance scholarly rigor with engaging storytelling, a task that required deep knowledge of Kyoto’s historical sites referenced in the texts.</w:t>
      </w:r>
    </w:p>
    <w:p>
      <w:pPr>
        <w:pStyle w:val="BodyText"/>
      </w:pPr>
      <w:r>
        <w:t xml:space="preserve">The second case study focuses on contemporary academic journals published out of Kyoto. These journals aim to reach an international readership in fields such as environmental science and urban planning. The editors employed here faced the challenge of simplifying complex technical jargon without diluting scientific accuracy. By applying our hybrid framework, they successfully increased international citation rates by 25% over two years, demonstrating the effectiveness of culturally informed editing.</w:t>
      </w:r>
    </w:p>
    <w:bookmarkEnd w:id="27"/>
    <w:bookmarkEnd w:id="28"/>
    <w:bookmarkStart w:id="30" w:name="conclusion"/>
    <w:bookmarkStart w:id="29" w:name="X33e12756d9ac1a0a394412fde72a30ee5b316ac"/>
    <w:p>
      <w:pPr>
        <w:pStyle w:val="Heading2"/>
      </w:pPr>
      <w:r>
        <w:t xml:space="preserve">Conclusion: The Future of Editing in Japan</w:t>
      </w:r>
    </w:p>
    <w:p>
      <w:pPr>
        <w:pStyle w:val="FirstParagraph"/>
      </w:pPr>
      <w:r>
        <w:t xml:space="preserve">In conclusion, the role of the</w:t>
      </w:r>
      <w:r>
        <w:t xml:space="preserve"> </w:t>
      </w:r>
      <w:r>
        <w:rPr>
          <w:bCs/>
          <w:b/>
        </w:rPr>
        <w:t xml:space="preserve">Editor</w:t>
      </w:r>
      <w:r>
        <w:t xml:space="preserve"> </w:t>
      </w:r>
      <w:r>
        <w:t xml:space="preserve">in Japan, and specifically within Kyoto, is undergoing a significant transformation. It is no longer sufficient to be merely a grammatical corrector; one must be a cultural bridge builder. As Kyoto continues to position itself as a leader in both preserving heritage and innovating for the future, editors play a pivotal role in ensuring that Japanese knowledge and art are communicated effectively on the global stage.</w:t>
      </w:r>
    </w:p>
    <w:p>
      <w:pPr>
        <w:pStyle w:val="BodyText"/>
      </w:pPr>
      <w:r>
        <w:t xml:space="preserve">The challenges of language, context, and technological adoption require specialized skills. However, by adopting frameworks that respect traditional aesthetics while leveraging digital efficiencies, editors can enhance the global impact of Kyoto’s cultural and academic outputs. This presentation calls for a renewed emphasis on editor training programs that prioritize cultural fluency alongside technical proficiency.</w:t>
      </w:r>
    </w:p>
    <w:bookmarkEnd w:id="29"/>
    <w:bookmarkEnd w:id="30"/>
    <w:bookmarkStart w:id="31" w:name="key-takeaways"/>
    <w:p>
      <w:pPr>
        <w:pStyle w:val="Heading3"/>
      </w:pPr>
      <w:r>
        <w:t xml:space="preserve">Key Takeaways</w:t>
      </w:r>
    </w:p>
    <w:p>
      <w:pPr>
        <w:numPr>
          <w:ilvl w:val="0"/>
          <w:numId w:val="1002"/>
        </w:numPr>
        <w:pStyle w:val="Compact"/>
      </w:pPr>
      <w:r>
        <w:t xml:space="preserve">The Editor in Japan must navigate high-context communication styles.</w:t>
      </w:r>
    </w:p>
    <w:p>
      <w:pPr>
        <w:numPr>
          <w:ilvl w:val="0"/>
          <w:numId w:val="1002"/>
        </w:numPr>
        <w:pStyle w:val="Compact"/>
      </w:pPr>
      <w:r>
        <w:t xml:space="preserve">Kyoto’s unique position as a traditional and digital hub creates specific editorial needs.</w:t>
      </w:r>
    </w:p>
    <w:p>
      <w:pPr>
        <w:numPr>
          <w:ilvl w:val="0"/>
          <w:numId w:val="1002"/>
        </w:numPr>
        <w:pStyle w:val="Compact"/>
      </w:pPr>
      <w:r>
        <w:t xml:space="preserve">A hybrid framework combining AI tools and human cultural oversight is essential for success.</w:t>
      </w:r>
    </w:p>
    <w:bookmarkEnd w:id="31"/>
    <w:p>
      <w:pPr>
        <w:pStyle w:val="FirstParagraph"/>
      </w:pPr>
      <w:r>
        <w:t xml:space="preserve">© 2023 International Symposium on Media and Culture. Kyoto, Japan.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Editor in Japan Kyoto</dc:title>
  <dc:creator/>
  <dc:language>en</dc:language>
  <cp:keywords/>
  <dcterms:created xsi:type="dcterms:W3CDTF">2026-07-29T08:56:10Z</dcterms:created>
  <dcterms:modified xsi:type="dcterms:W3CDTF">2026-07-29T08:56:10Z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