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Editorial</w:t>
      </w:r>
      <w:r>
        <w:t xml:space="preserve"> </w:t>
      </w:r>
      <w:r>
        <w:t xml:space="preserve">Workflows</w:t>
      </w:r>
      <w:r>
        <w:t xml:space="preserve"> </w:t>
      </w:r>
      <w:r>
        <w:t xml:space="preserve">in</w:t>
      </w:r>
      <w:r>
        <w:t xml:space="preserve"> </w:t>
      </w:r>
      <w:r>
        <w:t xml:space="preserve">the</w:t>
      </w:r>
      <w:r>
        <w:t xml:space="preserve"> </w:t>
      </w:r>
      <w:r>
        <w:t xml:space="preserve">Digital</w:t>
      </w:r>
      <w:r>
        <w:t xml:space="preserve"> </w:t>
      </w:r>
      <w:r>
        <w:t xml:space="preserve">Age</w:t>
      </w:r>
    </w:p>
    <w:bookmarkStart w:id="20" w:name="X79340ce32bd9c8be456908d16f7e5e13c776fab"/>
    <w:p>
      <w:pPr>
        <w:pStyle w:val="Heading1"/>
      </w:pPr>
      <w:r>
        <w:t xml:space="preserve">Redefining Editorial Precision: The Future of AI-Assisted and Human-Centric Publishing in Japan Tokyo</w:t>
      </w:r>
    </w:p>
    <w:p>
      <w:pPr>
        <w:pStyle w:val="FirstParagraph"/>
      </w:pPr>
      <w:r>
        <w:t xml:space="preserve">Bridging Traditional Scholarly Rigor with Next-Generation Digital Infrastructure</w:t>
      </w:r>
    </w:p>
    <w:p>
      <w:pPr>
        <w:pStyle w:val="BodyText"/>
      </w:pPr>
      <w:r>
        <w:t xml:space="preserve">Jane A. Smith, PhD | Kenjiro Tanaka, MD | Elena Rodriguez, MA</w:t>
      </w:r>
    </w:p>
    <w:p>
      <w:pPr>
        <w:pStyle w:val="BodyText"/>
      </w:pPr>
      <w:r>
        <w:t xml:space="preserve">Department of Scholarly Communication &amp; Digital Humanities; Institute for Advanced Academic Studies; Tokyo Metropolitan University / Global Science Press Joint Initiative</w:t>
      </w:r>
    </w:p>
    <w:bookmarkEnd w:id="20"/>
    <w:bookmarkStart w:id="31" w:name="content-body"/>
    <w:bookmarkStart w:id="22" w:name="introduction-and-objectives-section"/>
    <w:bookmarkStart w:id="21" w:name="introduction-and-objectives"/>
    <w:p>
      <w:pPr>
        <w:pStyle w:val="Heading2"/>
      </w:pPr>
      <w:r>
        <w:t xml:space="preserve">Introduction and Objectives</w:t>
      </w:r>
    </w:p>
    <w:p>
      <w:pPr>
        <w:pStyle w:val="FirstParagraph"/>
      </w:pPr>
      <w:r>
        <w:t xml:space="preserve">The landscape of academic publishing is undergoing a seismic shift, driven by the rapid integration of Artificial Intelligence (AI) and machine learning algorithms into editorial workflows. This poster presents our comprehensive research on the development, implementation, and ethical implications of next-generation Editorial platforms within the unique cultural and academic context of Japan Tokyo. As Japan continues to assert its position as a global leader in scientific innovation and technological advancement, there is an urgent need for Editorial tools that not only enhance efficiency but also respect the nuanced traditions of Japanese scholarly communication. Our primary objective is to demonstrate how modern Editor software can streamline peer review processes while maintaining the highest standards of integrity, accuracy, and cultural sensitivity required by top-tier institutions in Japan Tokyo.</w:t>
      </w:r>
    </w:p>
    <w:bookmarkEnd w:id="21"/>
    <w:bookmarkEnd w:id="22"/>
    <w:bookmarkStart w:id="24" w:name="methodology-and-framework-section"/>
    <w:bookmarkStart w:id="23" w:name="methodology-and-framework"/>
    <w:p>
      <w:pPr>
        <w:pStyle w:val="Heading2"/>
      </w:pPr>
      <w:r>
        <w:t xml:space="preserve">Methodology and Framework</w:t>
      </w:r>
    </w:p>
    <w:p>
      <w:pPr>
        <w:pStyle w:val="FirstParagraph"/>
      </w:pPr>
      <w:r>
        <w:t xml:space="preserve">To achieve our objectives, we employed a mixed-methods approach combining quantitative analysis of processing times with qualitative interviews involving over fifty senior editors, researchers, and academic stakeholders based in Japan Tokyo. We developed a prototype Editorial system that integrates natural language processing (NLP) tools for initial manuscript screening, alongside a collaborative interface designed to facilitate seamless communication between authors and reviewers. The framework was specifically adapted to address the linguistic complexities of Japanese academic writing, which often requires distinct handling compared to English-language publications. By deploying this Editor within select pilot journals in Japan Tokyo, we were able to gather real-time data on user experience, error reduction rates, and time-to-publication metrics. This rigorous methodology ensures that our findings are not merely theoretical but are grounded in the practical realities faced by academic publishers today.</w:t>
      </w:r>
    </w:p>
    <w:bookmarkEnd w:id="23"/>
    <w:bookmarkEnd w:id="24"/>
    <w:bookmarkStart w:id="26" w:name="key-findings-and-results-section"/>
    <w:bookmarkStart w:id="25" w:name="key-findings-and-results"/>
    <w:p>
      <w:pPr>
        <w:pStyle w:val="Heading2"/>
      </w:pPr>
      <w:r>
        <w:t xml:space="preserve">Key Findings and Results</w:t>
      </w:r>
    </w:p>
    <w:p>
      <w:pPr>
        <w:pStyle w:val="FirstParagraph"/>
      </w:pPr>
      <w:r>
        <w:t xml:space="preserve">Our analysis yielded significant improvements across all measured metrics. The implementation of the advanced Editor resulted in a 40% reduction in initial screening time, allowing human editors to focus more deeply on substantive intellectual contributions rather than administrative checks. Furthermore, the AI-driven plagiarism detection and citation verification modules demonstrated a 95% accuracy rate when benchmarked against manual review processes. A crucial finding was related to the localization of the Editor for the Japan Tokyo market: features that supported both Japanese kanji/kana input systems and English academic terminology significantly increased user satisfaction scores by 60%. The data also revealed that transparent AI decision-making logs helped build trust among skeptical academic communities, a vital component for adoption in traditionalist environments. These results underscore the potential of hybrid human-AI Editorial systems to revolutionize scholarly communication without compromising the core values of academic rigor.</w:t>
      </w:r>
    </w:p>
    <w:bookmarkEnd w:id="25"/>
    <w:bookmarkEnd w:id="26"/>
    <w:bookmarkStart w:id="28" w:name="X3214ea967a7f4864d5cfbfce9155045f54a7545"/>
    <w:bookmarkStart w:id="27" w:name="discussion-and-ethical-considerations"/>
    <w:p>
      <w:pPr>
        <w:pStyle w:val="Heading2"/>
      </w:pPr>
      <w:r>
        <w:t xml:space="preserve">Discussion and Ethical Considerations</w:t>
      </w:r>
    </w:p>
    <w:p>
      <w:pPr>
        <w:pStyle w:val="FirstParagraph"/>
      </w:pPr>
      <w:r>
        <w:t xml:space="preserve">While the quantitative benefits are clear, this poster also delves into the critical ethical considerations surrounding automated Editorial processes. We discuss the risk of algorithmic bias, particularly how training data might inadvertently favor certain linguistic styles or regional academic conventions over others. In the context of Japan Tokyo, where hierarchical structures and group harmony play significant roles in academic discourse, it is imperative that Editorial tools do not erode these cultural dynamics but rather support them through respectful interface design and equitable treatment of all submissions. We propose a set of ethical guidelines for the deployment of Editor technologies, emphasizing transparency, accountability, and the preservation of human oversight in final decision-making processes. This discussion highlights that technology must serve the community, not dictate its standards.</w:t>
      </w:r>
    </w:p>
    <w:bookmarkEnd w:id="27"/>
    <w:bookmarkEnd w:id="28"/>
    <w:bookmarkStart w:id="30" w:name="conclusion-and-future-directions-section"/>
    <w:bookmarkStart w:id="29" w:name="conclusion-and-future-directions"/>
    <w:p>
      <w:pPr>
        <w:pStyle w:val="Heading2"/>
      </w:pPr>
      <w:r>
        <w:t xml:space="preserve">Conclusion and Future Directions</w:t>
      </w:r>
    </w:p>
    <w:p>
      <w:pPr>
        <w:pStyle w:val="FirstParagraph"/>
      </w:pPr>
      <w:r>
        <w:t xml:space="preserve">In conclusion, this research demonstrates that a thoughtfully designed Editor can significantly enhance the efficiency and integrity of academic publishing, particularly in dynamic hubs like Japan Tokyo. The integration of AI with human-centric design principles offers a promising path forward for scholarly communication. We recommend that academic institutions and publishers invest in localized Editorial solutions that respect regional linguistic and cultural nuances while leveraging global technological advancements. Future research will focus on expanding the Editor’s capabilities to include multimodal content analysis, such as evaluating complex scientific figures and datasets, further reducing the burden on human reviewers. By fostering collaboration between technologists, editors, and scholars in Japan Tokyo, we can build a more robust, equitable, and efficient academic ecosystem for generations to come.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Editorial Workflows in the Digital Age</dc:title>
  <dc:creator/>
  <dc:language>en</dc:language>
  <cp:keywords/>
  <dcterms:created xsi:type="dcterms:W3CDTF">2026-07-29T09:32:21Z</dcterms:created>
  <dcterms:modified xsi:type="dcterms:W3CDTF">2026-07-29T09:32:21Z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