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Editorial</w:t>
      </w:r>
      <w:r>
        <w:t xml:space="preserve"> </w:t>
      </w:r>
      <w:r>
        <w:t xml:space="preserve">Excellence</w:t>
      </w:r>
      <w:r>
        <w:t xml:space="preserve"> </w:t>
      </w:r>
      <w:r>
        <w:t xml:space="preserve">in</w:t>
      </w:r>
      <w:r>
        <w:t xml:space="preserve"> </w:t>
      </w:r>
      <w:r>
        <w:t xml:space="preserve">the</w:t>
      </w:r>
      <w:r>
        <w:t xml:space="preserve"> </w:t>
      </w:r>
      <w:r>
        <w:t xml:space="preserve">Malaysian</w:t>
      </w:r>
      <w:r>
        <w:t xml:space="preserve"> </w:t>
      </w:r>
      <w:r>
        <w:t xml:space="preserve">Context</w:t>
      </w:r>
    </w:p>
    <w:bookmarkStart w:id="20" w:name="X2e29e89a5d0bb2e1707898a0aae1d9570211ed3"/>
    <w:p>
      <w:pPr>
        <w:pStyle w:val="Heading1"/>
      </w:pPr>
      <w:r>
        <w:t xml:space="preserve">Bridging Borders and Texts: The Evolving Role of the Academic Editor in Malaysia Kuala Lumpur</w:t>
      </w:r>
    </w:p>
    <w:p>
      <w:pPr>
        <w:pStyle w:val="FirstParagraph"/>
      </w:pPr>
      <w:r>
        <w:rPr>
          <w:bCs/>
          <w:b/>
        </w:rPr>
        <w:t xml:space="preserve">Presentation by:</w:t>
      </w:r>
      <w:r>
        <w:t xml:space="preserve"> </w:t>
      </w:r>
      <w:r>
        <w:t xml:space="preserve">Dr. Aisyah Rahman, Department of Linguistics &amp; Publishing Studies</w:t>
      </w:r>
    </w:p>
    <w:p>
      <w:pPr>
        <w:pStyle w:val="BodyText"/>
      </w:pPr>
      <w:r>
        <w:rPr>
          <w:bCs/>
          <w:b/>
        </w:rPr>
        <w:t xml:space="preserve">Institution:</w:t>
      </w:r>
      <w:r>
        <w:t xml:space="preserve"> </w:t>
      </w:r>
      <w:r>
        <w:t xml:space="preserve">International University of Malaya-Wales (IUMW), Malaysia Kuala Lumpur</w:t>
      </w:r>
    </w:p>
    <w:p>
      <w:pPr>
        <w:pStyle w:val="BodyText"/>
      </w:pPr>
      <w:r>
        <w:rPr>
          <w:bCs/>
          <w:b/>
        </w:rPr>
        <w:t xml:space="preserve">Date:</w:t>
      </w:r>
      <w:r>
        <w:t xml:space="preserve"> </w:t>
      </w:r>
      <w:r>
        <w:t xml:space="preserve">October 24, 2023 |</w:t>
      </w:r>
      <w:r>
        <w:t xml:space="preserve"> </w:t>
      </w:r>
      <w:r>
        <w:rPr>
          <w:bCs/>
          <w:b/>
        </w:rPr>
        <w:t xml:space="preserve">Contact:</w:t>
      </w:r>
      <w:r>
        <w:t xml:space="preserve"> </w:t>
      </w:r>
      <w:r>
        <w:t xml:space="preserve">aisyah.rahman@iium.edu.my</w:t>
      </w:r>
    </w:p>
    <w:bookmarkEnd w:id="20"/>
    <w:bookmarkStart w:id="21" w:name="introduction"/>
    <w:p>
      <w:pPr>
        <w:pStyle w:val="Heading2"/>
      </w:pPr>
      <w:r>
        <w:t xml:space="preserve">Introduction</w:t>
      </w:r>
    </w:p>
    <w:p>
      <w:pPr>
        <w:pStyle w:val="FirstParagraph"/>
      </w:pPr>
      <w:r>
        <w:t xml:space="preserve">The landscape of academic publishing is undergoing a profound transformation, driven by digitalization, open access mandates, and the increasing demand for high-impact research. In this dynamic environment, the role of the</w:t>
      </w:r>
      <w:r>
        <w:t xml:space="preserve"> </w:t>
      </w:r>
      <w:r>
        <w:rPr>
          <w:bCs/>
          <w:b/>
        </w:rPr>
        <w:t xml:space="preserve">Editor</w:t>
      </w:r>
      <w:r>
        <w:t xml:space="preserve"> </w:t>
      </w:r>
      <w:r>
        <w:t xml:space="preserve">has shifted from a mere gatekeeper to that of an active mediator between authors, reviewers, and readers. This presentation explores the critical functions of editorial work within one of Southeast Asia’s most vibrant academic hubs:</w:t>
      </w:r>
      <w:r>
        <w:t xml:space="preserve"> </w:t>
      </w:r>
      <w:r>
        <w:rPr>
          <w:bCs/>
          <w:b/>
        </w:rPr>
        <w:t xml:space="preserve">Malaysia Kuala Lumpur</w:t>
      </w:r>
      <w:r>
        <w:t xml:space="preserve">.</w:t>
      </w:r>
    </w:p>
    <w:p>
      <w:pPr>
        <w:pStyle w:val="BodyText"/>
      </w:pPr>
      <w:r>
        <w:t xml:space="preserve">Kuala Lumpur stands as a burgeoning center for international scholarship, hosting numerous universities and research institutes that contribute significantly to global knowledge. As the volume of submitted manuscripts increases, the need for specialized editorial expertise that understands both global standards and local contextual nuances becomes paramount. This poster outlines the challenges faced by</w:t>
      </w:r>
      <w:r>
        <w:t xml:space="preserve"> </w:t>
      </w:r>
      <w:r>
        <w:rPr>
          <w:bCs/>
          <w:b/>
        </w:rPr>
        <w:t xml:space="preserve">Editor</w:t>
      </w:r>
      <w:r>
        <w:t xml:space="preserve">s in this region and proposes a framework for enhancing editorial practices to support academic excellence in</w:t>
      </w:r>
      <w:r>
        <w:t xml:space="preserve"> </w:t>
      </w:r>
      <w:r>
        <w:rPr>
          <w:bCs/>
          <w:b/>
        </w:rPr>
        <w:t xml:space="preserve">Malaysia Kuala Lumpur</w:t>
      </w:r>
      <w:r>
        <w:t xml:space="preserve">.</w:t>
      </w:r>
    </w:p>
    <w:bookmarkEnd w:id="21"/>
    <w:bookmarkStart w:id="22" w:name="contextual-background"/>
    <w:p>
      <w:pPr>
        <w:pStyle w:val="Heading2"/>
      </w:pPr>
      <w:r>
        <w:t xml:space="preserve">Contextual Background</w:t>
      </w:r>
    </w:p>
    <w:p>
      <w:pPr>
        <w:pStyle w:val="FirstParagraph"/>
      </w:pPr>
      <w:r>
        <w:t xml:space="preserve">The academic ecosystem in</w:t>
      </w:r>
      <w:r>
        <w:t xml:space="preserve"> </w:t>
      </w:r>
      <w:r>
        <w:rPr>
          <w:bCs/>
          <w:b/>
        </w:rPr>
        <w:t xml:space="preserve">Malaysia Kuala Lumpur</w:t>
      </w:r>
      <w:r>
        <w:t xml:space="preserve"> </w:t>
      </w:r>
      <w:r>
        <w:t xml:space="preserve">is characterized by its multilingual and multicultural nature. Researchers here often publish in English to reach an international audience, yet their work is deeply rooted in local societal, political, and environmental contexts. This duality presents unique challenges for the</w:t>
      </w:r>
      <w:r>
        <w:t xml:space="preserve"> </w:t>
      </w:r>
      <w:r>
        <w:rPr>
          <w:bCs/>
          <w:b/>
        </w:rPr>
        <w:t xml:space="preserve">Editor</w:t>
      </w:r>
      <w:r>
        <w:t xml:space="preserve">.</w:t>
      </w:r>
    </w:p>
    <w:p>
      <w:pPr>
        <w:numPr>
          <w:ilvl w:val="0"/>
          <w:numId w:val="1001"/>
        </w:numPr>
        <w:pStyle w:val="Compact"/>
      </w:pPr>
      <w:r>
        <w:rPr>
          <w:bCs/>
          <w:b/>
        </w:rPr>
        <w:t xml:space="preserve">Linguistic Diversity:</w:t>
      </w:r>
      <w:r>
        <w:t xml:space="preserve"> </w:t>
      </w:r>
      <w:r>
        <w:t xml:space="preserve">Many researchers are non-native English speakers. The</w:t>
      </w:r>
      <w:r>
        <w:t xml:space="preserve"> </w:t>
      </w:r>
      <w:r>
        <w:rPr>
          <w:iCs/>
          <w:i/>
        </w:rPr>
        <w:t xml:space="preserve">Editor</w:t>
      </w:r>
      <w:r>
        <w:t xml:space="preserve"> </w:t>
      </w:r>
      <w:r>
        <w:t xml:space="preserve">must distinguish between genuine grammatical errors and stylistic variations associated with Malaysian academic English.</w:t>
      </w:r>
    </w:p>
    <w:p>
      <w:pPr>
        <w:numPr>
          <w:ilvl w:val="0"/>
          <w:numId w:val="1001"/>
        </w:numPr>
        <w:pStyle w:val="Compact"/>
      </w:pPr>
      <w:r>
        <w:rPr>
          <w:bCs/>
          <w:b/>
        </w:rPr>
        <w:t xml:space="preserve">Cultural Nuance:</w:t>
      </w:r>
      <w:r>
        <w:t xml:space="preserve"> </w:t>
      </w:r>
      <w:r>
        <w:t xml:space="preserve">Content related to Islamic studies, Southeast Asian history, or tropical ecology requires editors who possess specific domain knowledge or access to specialized peer reviewers.</w:t>
      </w:r>
    </w:p>
    <w:p>
      <w:pPr>
        <w:numPr>
          <w:ilvl w:val="0"/>
          <w:numId w:val="1001"/>
        </w:numPr>
        <w:pStyle w:val="Compact"/>
      </w:pPr>
      <w:r>
        <w:rPr>
          <w:bCs/>
          <w:b/>
        </w:rPr>
        <w:t xml:space="preserve">Digital Infrastructure:</w:t>
      </w:r>
      <w:r>
        <w:t xml:space="preserve"> </w:t>
      </w:r>
      <w:r>
        <w:t xml:space="preserve">As a modern metropolis,</w:t>
      </w:r>
      <w:r>
        <w:t xml:space="preserve"> </w:t>
      </w:r>
      <w:r>
        <w:rPr>
          <w:iCs/>
          <w:i/>
        </w:rPr>
        <w:t xml:space="preserve">Kuala Lumpur</w:t>
      </w:r>
      <w:r>
        <w:t xml:space="preserve"> </w:t>
      </w:r>
      <w:r>
        <w:t xml:space="preserve">offers advanced technological support for digital publishing. However, the transition from traditional print-based editorial workflows to AI-assisted and open-access platforms requires significant upskilling.</w:t>
      </w:r>
    </w:p>
    <w:bookmarkEnd w:id="22"/>
    <w:bookmarkStart w:id="23" w:name="methodology"/>
    <w:p>
      <w:pPr>
        <w:pStyle w:val="Heading2"/>
      </w:pPr>
      <w:r>
        <w:t xml:space="preserve">Methodology</w:t>
      </w:r>
    </w:p>
    <w:p>
      <w:pPr>
        <w:pStyle w:val="FirstParagraph"/>
      </w:pPr>
      <w:r>
        <w:t xml:space="preserve">To understand the current state of editorial practices, this study employed a mixed-methods approach involving stakeholders across</w:t>
      </w:r>
      <w:r>
        <w:t xml:space="preserve"> </w:t>
      </w:r>
      <w:r>
        <w:rPr>
          <w:bCs/>
          <w:b/>
        </w:rPr>
        <w:t xml:space="preserve">Malaysia Kuala Lumpur</w:t>
      </w:r>
      <w:r>
        <w:t xml:space="preserve">. The methodology included:</w:t>
      </w:r>
    </w:p>
    <w:p>
      <w:pPr>
        <w:numPr>
          <w:ilvl w:val="0"/>
          <w:numId w:val="1002"/>
        </w:numPr>
        <w:pStyle w:val="Compact"/>
      </w:pPr>
      <w:r>
        <w:rPr>
          <w:bCs/>
          <w:b/>
        </w:rPr>
        <w:t xml:space="preserve">Survey Analysis:</w:t>
      </w:r>
      <w:r>
        <w:t xml:space="preserve"> </w:t>
      </w:r>
      <w:r>
        <w:t xml:space="preserve">A structured survey was distributed to 150 academic editors and journal managers based in</w:t>
      </w:r>
      <w:r>
        <w:t xml:space="preserve"> </w:t>
      </w:r>
      <w:r>
        <w:rPr>
          <w:iCs/>
          <w:i/>
        </w:rPr>
        <w:t xml:space="preserve">Kuala Lumpur</w:t>
      </w:r>
      <w:r>
        <w:t xml:space="preserve">, focusing on their perception of workload, technology adoption, and author support.</w:t>
      </w:r>
    </w:p>
    <w:p>
      <w:pPr>
        <w:numPr>
          <w:ilvl w:val="0"/>
          <w:numId w:val="1002"/>
        </w:numPr>
        <w:pStyle w:val="Compact"/>
      </w:pPr>
      <w:r>
        <w:rPr>
          <w:bCs/>
          <w:b/>
        </w:rPr>
        <w:t xml:space="preserve">In-Depth Interviews:</w:t>
      </w:r>
      <w:r>
        <w:t xml:space="preserve"> </w:t>
      </w:r>
      <w:r>
        <w:t xml:space="preserve">Semi-structured interviews were conducted with 20 senior</w:t>
      </w:r>
      <w:r>
        <w:t xml:space="preserve"> </w:t>
      </w:r>
      <w:r>
        <w:rPr>
          <w:iCs/>
          <w:i/>
        </w:rPr>
        <w:t xml:space="preserve">Editors</w:t>
      </w:r>
      <w:r>
        <w:t xml:space="preserve"> </w:t>
      </w:r>
      <w:r>
        <w:t xml:space="preserve">from top-tier journals published in the region. These interviews explored the strategic decisions involved in manuscript selection and quality control.</w:t>
      </w:r>
    </w:p>
    <w:p>
      <w:pPr>
        <w:numPr>
          <w:ilvl w:val="0"/>
          <w:numId w:val="1002"/>
        </w:numPr>
        <w:pStyle w:val="Compact"/>
      </w:pPr>
      <w:r>
        <w:rPr>
          <w:bCs/>
          <w:b/>
        </w:rPr>
        <w:t xml:space="preserve">Casual Study Review:</w:t>
      </w:r>
      <w:r>
        <w:t xml:space="preserve"> </w:t>
      </w:r>
      <w:r>
        <w:t xml:space="preserve">An analysis of editorial guidelines from five major university journals in</w:t>
      </w:r>
      <w:r>
        <w:t xml:space="preserve"> </w:t>
      </w:r>
      <w:r>
        <w:rPr>
          <w:iCs/>
          <w:i/>
        </w:rPr>
        <w:t xml:space="preserve">Kuala Lumpur</w:t>
      </w:r>
      <w:r>
        <w:t xml:space="preserve">, assessing their clarity, accessibility, and alignment with international ethical standards (COPE).</w:t>
      </w:r>
    </w:p>
    <w:bookmarkEnd w:id="23"/>
    <w:bookmarkStart w:id="27" w:name="key-findings"/>
    <w:p>
      <w:pPr>
        <w:pStyle w:val="Heading2"/>
      </w:pPr>
      <w:r>
        <w:t xml:space="preserve">Key Findings</w:t>
      </w:r>
    </w:p>
    <w:p>
      <w:pPr>
        <w:pStyle w:val="FirstParagraph"/>
      </w:pPr>
      <w:r>
        <w:t xml:space="preserve">The data reveals several critical insights regarding the role of the</w:t>
      </w:r>
      <w:r>
        <w:t xml:space="preserve"> </w:t>
      </w:r>
      <w:r>
        <w:rPr>
          <w:bCs/>
          <w:b/>
        </w:rPr>
        <w:t xml:space="preserve">Editor</w:t>
      </w:r>
      <w:r>
        <w:t xml:space="preserve"> </w:t>
      </w:r>
      <w:r>
        <w:t xml:space="preserve">in this specific geographic and academic context:</w:t>
      </w:r>
    </w:p>
    <w:bookmarkStart w:id="24" w:name="the-hybrid-editor-role"/>
    <w:p>
      <w:pPr>
        <w:pStyle w:val="Heading3"/>
      </w:pPr>
      <w:r>
        <w:t xml:space="preserve">1. The "Hybrid" Editor Role</w:t>
      </w:r>
    </w:p>
    <w:p>
      <w:pPr>
        <w:pStyle w:val="FirstParagraph"/>
      </w:pPr>
      <w:r>
        <w:t xml:space="preserve">In</w:t>
      </w:r>
      <w:r>
        <w:t xml:space="preserve"> </w:t>
      </w:r>
      <w:r>
        <w:rPr>
          <w:iCs/>
          <w:i/>
        </w:rPr>
        <w:t xml:space="preserve">Kuala Lumpur</w:t>
      </w:r>
      <w:r>
        <w:t xml:space="preserve">, the modern</w:t>
      </w:r>
      <w:r>
        <w:t xml:space="preserve"> </w:t>
      </w:r>
      <w:r>
        <w:rPr>
          <w:bCs/>
          <w:b/>
        </w:rPr>
        <w:t xml:space="preserve">Editor</w:t>
      </w:r>
      <w:r>
        <w:t xml:space="preserve"> </w:t>
      </w:r>
      <w:r>
        <w:t xml:space="preserve">is increasingly expected to be a hybrid professional. They must possess strong linguistic proficiency, familiarity with digital publishing tools (such as ScholarOne or Editorial Manager), and soft skills in mentoring authors. The findings indicate that 70% of editors feel under-trained in digital metadata management.</w:t>
      </w:r>
    </w:p>
    <w:bookmarkEnd w:id="24"/>
    <w:bookmarkStart w:id="25" w:name="bridging-local-and-global-standards"/>
    <w:p>
      <w:pPr>
        <w:pStyle w:val="Heading3"/>
      </w:pPr>
      <w:r>
        <w:t xml:space="preserve">2. Bridging Local and Global Standards</w:t>
      </w:r>
    </w:p>
    <w:p>
      <w:pPr>
        <w:pStyle w:val="FirstParagraph"/>
      </w:pPr>
      <w:r>
        <w:t xml:space="preserve">A significant challenge identified is balancing local relevance with global visibility.</w:t>
      </w:r>
      <w:r>
        <w:t xml:space="preserve"> </w:t>
      </w:r>
      <w:r>
        <w:rPr>
          <w:iCs/>
          <w:i/>
        </w:rPr>
        <w:t xml:space="preserve">Editors</w:t>
      </w:r>
      <w:r>
        <w:t xml:space="preserve"> </w:t>
      </w:r>
      <w:r>
        <w:t xml:space="preserve">in</w:t>
      </w:r>
      <w:r>
        <w:t xml:space="preserve"> </w:t>
      </w:r>
      <w:r>
        <w:rPr>
          <w:bCs/>
          <w:b/>
        </w:rPr>
        <w:t xml:space="preserve">Kuala Lumpur</w:t>
      </w:r>
      <w:r>
        <w:t xml:space="preserve"> </w:t>
      </w:r>
      <w:r>
        <w:t xml:space="preserve">are often tasked with convincing authors to broaden their scope for international audiences without diluting the local significance of the research. This requires a delicate editorial hand that respects cultural specificity while ensuring universal academic rigor.</w:t>
      </w:r>
    </w:p>
    <w:bookmarkEnd w:id="25"/>
    <w:bookmarkStart w:id="26" w:name="ethical-scrutiny"/>
    <w:p>
      <w:pPr>
        <w:pStyle w:val="Heading3"/>
      </w:pPr>
      <w:r>
        <w:t xml:space="preserve">3. Ethical Scrutiny</w:t>
      </w:r>
    </w:p>
    <w:p>
      <w:pPr>
        <w:pStyle w:val="FirstParagraph"/>
      </w:pPr>
      <w:r>
        <w:t xml:space="preserve">The rise of predatory publishing affects</w:t>
      </w:r>
      <w:r>
        <w:t xml:space="preserve"> </w:t>
      </w:r>
      <w:r>
        <w:rPr>
          <w:iCs/>
          <w:i/>
        </w:rPr>
        <w:t xml:space="preserve">Kuala Lumpur</w:t>
      </w:r>
      <w:r>
        <w:t xml:space="preserve">’s academic community as much as the rest of the world. Editors report a high volume of submissions that exhibit signs of AI-generated content or plagiarism. There is an urgent need for robust training in ethical detection tools, which was identified as a gap in current professional development programs.</w:t>
      </w:r>
    </w:p>
    <w:bookmarkEnd w:id="26"/>
    <w:bookmarkEnd w:id="27"/>
    <w:bookmarkStart w:id="28" w:name="discussion-and-implications"/>
    <w:p>
      <w:pPr>
        <w:pStyle w:val="Heading2"/>
      </w:pPr>
      <w:r>
        <w:t xml:space="preserve">Discussion and Implications</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Kuala Lumpur</w:t>
      </w:r>
      <w:r>
        <w:t xml:space="preserve"> </w:t>
      </w:r>
      <w:r>
        <w:t xml:space="preserve">is pivotal to the credibility and reach of Malaysian research. The findings suggest that editorial training programs must be localized. Generic international training modules often fail to address the specific linguistic and cultural challenges faced by authors in Southeast Asia.</w:t>
      </w:r>
    </w:p>
    <w:p>
      <w:pPr>
        <w:pStyle w:val="BodyText"/>
      </w:pPr>
      <w:r>
        <w:t xml:space="preserve">We propose the establishment of a</w:t>
      </w:r>
      <w:r>
        <w:t xml:space="preserve"> </w:t>
      </w:r>
      <w:r>
        <w:rPr>
          <w:iCs/>
          <w:i/>
        </w:rPr>
        <w:t xml:space="preserve">Kuala Lumpur Editorial Academy</w:t>
      </w:r>
      <w:r>
        <w:t xml:space="preserve">, a collaborative initiative between major universities in</w:t>
      </w:r>
      <w:r>
        <w:t xml:space="preserve"> </w:t>
      </w:r>
      <w:r>
        <w:rPr>
          <w:bCs/>
          <w:b/>
        </w:rPr>
        <w:t xml:space="preserve">Malaysia Kuala Lumpur</w:t>
      </w:r>
      <w:r>
        <w:t xml:space="preserve">. This academy would focus on:</w:t>
      </w:r>
    </w:p>
    <w:p>
      <w:pPr>
        <w:numPr>
          <w:ilvl w:val="0"/>
          <w:numId w:val="1003"/>
        </w:numPr>
        <w:pStyle w:val="Compact"/>
      </w:pPr>
      <w:r>
        <w:rPr>
          <w:bCs/>
          <w:b/>
        </w:rPr>
        <w:t xml:space="preserve">Cultural Competency Training:</w:t>
      </w:r>
      <w:r>
        <w:t xml:space="preserve"> </w:t>
      </w:r>
      <w:r>
        <w:t xml:space="preserve">Helping editors understand the diverse backgrounds of local authors.</w:t>
      </w:r>
    </w:p>
    <w:p>
      <w:pPr>
        <w:numPr>
          <w:ilvl w:val="0"/>
          <w:numId w:val="1003"/>
        </w:numPr>
        <w:pStyle w:val="Compact"/>
      </w:pPr>
      <w:r>
        <w:br/>
      </w:r>
      <w:r>
        <w:br/>
      </w:r>
      <w:r>
        <w:t xml:space="preserve">Technology Integration: Hands-on workshops for advanced editorial software and AI-assisted checking tools.</w:t>
      </w:r>
    </w:p>
    <w:p>
      <w:pPr>
        <w:numPr>
          <w:ilvl w:val="0"/>
          <w:numId w:val="1003"/>
        </w:numPr>
        <w:pStyle w:val="Compact"/>
      </w:pPr>
      <w:r>
        <w:t xml:space="preserve">Ethical Leadership: Developing protocols for handling ethical breaches in an increasingly digital publishing landscape.</w:t>
      </w:r>
    </w:p>
    <w:bookmarkEnd w:id="28"/>
    <w:bookmarkStart w:id="29" w:name="conclusion"/>
    <w:p>
      <w:pPr>
        <w:pStyle w:val="Heading2"/>
      </w:pPr>
      <w:r>
        <w:t xml:space="preserve">Conclusion</w:t>
      </w:r>
    </w:p>
    <w:p>
      <w:pPr>
        <w:pStyle w:val="FirstParagraph"/>
      </w:pPr>
      <w:r>
        <w:t xml:space="preserve">In conclusion, the academic</w:t>
      </w:r>
      <w:r>
        <w:t xml:space="preserve"> </w:t>
      </w:r>
      <w:r>
        <w:rPr>
          <w:bCs/>
          <w:b/>
        </w:rPr>
        <w:t xml:space="preserve">Editor</w:t>
      </w:r>
      <w:r>
        <w:t xml:space="preserve"> </w:t>
      </w:r>
      <w:r>
        <w:t xml:space="preserve">in</w:t>
      </w:r>
      <w:r>
        <w:t xml:space="preserve"> </w:t>
      </w:r>
      <w:r>
        <w:rPr>
          <w:bCs/>
          <w:b/>
        </w:rPr>
        <w:t xml:space="preserve">Kuala Lumpur</w:t>
      </w:r>
      <w:r>
        <w:t xml:space="preserve"> </w:t>
      </w:r>
      <w:r>
        <w:t xml:space="preserve">is not just a processor of text but a vital architect of knowledge dissemination. As Malaysia continues to assert its position as a regional leader in higher education and research, supporting the professional development of editors is essential.</w:t>
      </w:r>
    </w:p>
    <w:p>
      <w:pPr>
        <w:pStyle w:val="BodyText"/>
      </w:pPr>
      <w:r>
        <w:t xml:space="preserve">The unique position of</w:t>
      </w:r>
      <w:r>
        <w:t xml:space="preserve"> </w:t>
      </w:r>
      <w:r>
        <w:rPr>
          <w:iCs/>
          <w:i/>
        </w:rPr>
        <w:t xml:space="preserve">Kuala Lumpur</w:t>
      </w:r>
      <w:r>
        <w:t xml:space="preserve"> </w:t>
      </w:r>
      <w:r>
        <w:t xml:space="preserve">as a bridge between East and West offers an opportunity to redefine editorial practices. By embracing technology, respecting cultural diversity, and upholding ethical standards,</w:t>
      </w:r>
      <w:r>
        <w:t xml:space="preserve"> </w:t>
      </w:r>
      <w:r>
        <w:rPr>
          <w:bCs/>
          <w:b/>
        </w:rPr>
        <w:t xml:space="preserve">Editors</w:t>
      </w:r>
      <w:r>
        <w:t xml:space="preserve"> </w:t>
      </w:r>
      <w:r>
        <w:t xml:space="preserve">in this region can ensure that Malaysian research achieves the global impact it deserves. Future studies should examine the long-term impact of specialized editorial training on journal citation indices.</w:t>
      </w:r>
    </w:p>
    <w:bookmarkEnd w:id="29"/>
    <w:bookmarkStart w:id="30" w:name="references-acknowledgments"/>
    <w:p>
      <w:pPr>
        <w:pStyle w:val="Heading2"/>
      </w:pPr>
      <w:r>
        <w:t xml:space="preserve">References &amp; Acknowledgments</w:t>
      </w:r>
    </w:p>
    <w:p>
      <w:pPr>
        <w:pStyle w:val="FirstParagraph"/>
      </w:pPr>
      <w:r>
        <w:t xml:space="preserve">This research was supported by the Malaysian Ministry of Higher Education and the Editorial Board of the</w:t>
      </w:r>
      <w:r>
        <w:t xml:space="preserve"> </w:t>
      </w:r>
      <w:r>
        <w:rPr>
          <w:iCs/>
          <w:i/>
        </w:rPr>
        <w:t xml:space="preserve">Journal of Southeast Asian Academia</w:t>
      </w:r>
      <w:r>
        <w:t xml:space="preserve">. We thank all participating editors in</w:t>
      </w:r>
      <w:r>
        <w:t xml:space="preserve"> </w:t>
      </w:r>
      <w:r>
        <w:rPr>
          <w:bCs/>
          <w:b/>
        </w:rPr>
        <w:t xml:space="preserve">Kuala Lumpur</w:t>
      </w:r>
      <w:r>
        <w:t xml:space="preserve"> </w:t>
      </w:r>
      <w:r>
        <w:t xml:space="preserve">for their valuable contributions.</w:t>
      </w:r>
    </w:p>
    <w:p>
      <w:pPr>
        <w:numPr>
          <w:ilvl w:val="0"/>
          <w:numId w:val="1004"/>
        </w:numPr>
        <w:pStyle w:val="Compact"/>
      </w:pPr>
      <w:r>
        <w:t xml:space="preserve">Council of Science Editors. (2023). *Style Manual for Scientists and Editors*. CSE.</w:t>
      </w:r>
    </w:p>
    <w:p>
      <w:pPr>
        <w:numPr>
          <w:ilvl w:val="0"/>
          <w:numId w:val="1004"/>
        </w:numPr>
        <w:pStyle w:val="Compact"/>
      </w:pPr>
      <w:r>
        <w:t xml:space="preserve">Mahmood, N., &amp; Lee, K. (2021). "Publishing Challenges in Multilingual Asia." *Asian Journal of Communication*, 15(3), 45-60.</w:t>
      </w:r>
    </w:p>
    <w:p>
      <w:pPr>
        <w:numPr>
          <w:ilvl w:val="0"/>
          <w:numId w:val="1004"/>
        </w:numPr>
        <w:pStyle w:val="Compact"/>
      </w:pPr>
      <w:r>
        <w:t xml:space="preserve">COPE. (2023). *Best Practice Guidelines for Peer Review*. Committee on Publication Ethics.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Editorial Excellence in the Malaysian Context</dc:title>
  <dc:creator/>
  <dc:language>en</dc:language>
  <cp:keywords/>
  <dcterms:created xsi:type="dcterms:W3CDTF">2026-07-29T07:21:43Z</dcterms:created>
  <dcterms:modified xsi:type="dcterms:W3CDTF">2026-07-29T07:21:43Z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