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p>
    <w:bookmarkStart w:id="20" w:name="X9eae9497622ae0ffc6ea544c26e1605a410cc6d"/>
    <w:p>
      <w:pPr>
        <w:pStyle w:val="Heading1"/>
      </w:pPr>
      <w:r>
        <w:t xml:space="preserve">The Evolution and Relevance of the Editor in Academic Publishing</w:t>
      </w:r>
    </w:p>
    <w:p>
      <w:pPr>
        <w:pStyle w:val="FirstParagraph"/>
      </w:pPr>
      <w:r>
        <w:t xml:space="preserve">A Poster Presentation for the International Symposium on Scholarly Communication</w:t>
      </w:r>
      <w:r>
        <w:br/>
      </w:r>
      <w:r>
        <w:t xml:space="preserve">Netherlands Amsterdam</w:t>
      </w:r>
    </w:p>
    <w:bookmarkEnd w:id="20"/>
    <w:p>
      <w:pPr>
        <w:pStyle w:val="BodyText"/>
      </w:pPr>
      <w:r>
        <w:rPr>
          <w:bCs/>
          <w:b/>
        </w:rPr>
        <w:t xml:space="preserve">Presentation Title:</w:t>
      </w:r>
      <w:r>
        <w:t xml:space="preserve"> </w:t>
      </w:r>
      <w:r>
        <w:t xml:space="preserve">The Editor as a Gatekeeper and Catalyst: Navigating Ethical Challenges in the 21st Century</w:t>
      </w:r>
    </w:p>
    <w:p>
      <w:pPr>
        <w:pStyle w:val="BodyText"/>
      </w:pPr>
      <w:r>
        <w:rPr>
          <w:bCs/>
          <w:b/>
        </w:rPr>
        <w:t xml:space="preserve">Presentation Location:</w:t>
      </w:r>
      <w:r>
        <w:t xml:space="preserve">Netherlands Amsterdam</w:t>
      </w:r>
    </w:p>
    <w:p>
      <w:pPr>
        <w:pStyle w:val="BodyText"/>
      </w:pPr>
      <w:r>
        <w:rPr>
          <w:iCs/>
          <w:i/>
        </w:rPr>
        <w:t xml:space="preserve">This document serves as the textual foundation for a visual academic Poster Presentation regarding the critical role of the Editor within contemporary scholarly frameworks.</w:t>
      </w:r>
    </w:p>
    <w:bookmarkStart w:id="21" w:name="introduction-and-context"/>
    <w:p>
      <w:pPr>
        <w:pStyle w:val="Heading2"/>
      </w:pPr>
      <w:r>
        <w:t xml:space="preserve">1. Introduction and Context</w:t>
      </w:r>
    </w:p>
    <w:p>
      <w:pPr>
        <w:pStyle w:val="FirstParagraph"/>
      </w:pPr>
      <w:r>
        <w:t xml:space="preserve">In an era defined by rapid digital transformation, the traditional definition of the 'Editor' has undergone a profound metamorphosis. Historically viewed merely as proofreaders or copyeditors, modern Editors have emerged as pivotal intellectual architects of academic discourse. This Poster Presentation explores the multifaceted role of the Editor, specifically contextualizing these dynamics within the vibrant academic ecosystem of</w:t>
      </w:r>
      <w:r>
        <w:t xml:space="preserve"> </w:t>
      </w:r>
      <w:r>
        <w:rPr>
          <w:bCs/>
          <w:b/>
        </w:rPr>
        <w:t xml:space="preserve">Netherlands Amsterdam</w:t>
      </w:r>
      <w:r>
        <w:t xml:space="preserve">. As one of Europe’s leading hubs for scientific research and publishing, Amsterdam serves as an ideal case study for understanding how Editors manage high-volume submissions while upholding rigorous ethical standards. The primary objective of this presentation is to argue that the Editor is no longer a passive processor but an active facilitator of knowledge discovery, requiring a sophisticated blend of technical expertise, editorial judgment, and ethical stewardship.</w:t>
      </w:r>
    </w:p>
    <w:bookmarkEnd w:id="21"/>
    <w:bookmarkStart w:id="22" w:name="X7d53467e6613394524b5064a460e1f8a6683c0b"/>
    <w:p>
      <w:pPr>
        <w:pStyle w:val="Heading2"/>
      </w:pPr>
      <w:r>
        <w:t xml:space="preserve">2. The Shifting Landscape: From Gatekeeper to Guide</w:t>
      </w:r>
    </w:p>
    <w:p>
      <w:pPr>
        <w:pStyle w:val="FirstParagraph"/>
      </w:pPr>
      <w:r>
        <w:t xml:space="preserve">The role of the Editor is currently at a crossroads. Traditional peer review processes are being augmented, and sometimes replaced, by AI-driven pre-screening tools. However, the human element remains irreplaceable in assessing novelty and contextual significance. This section of the poster presentation highlights three key shifts in the editorial workflow:</w:t>
      </w:r>
    </w:p>
    <w:p>
      <w:pPr>
        <w:numPr>
          <w:ilvl w:val="0"/>
          <w:numId w:val="1001"/>
        </w:numPr>
        <w:pStyle w:val="Compact"/>
      </w:pPr>
      <w:r>
        <w:rPr>
          <w:bCs/>
          <w:b/>
        </w:rPr>
        <w:t xml:space="preserve">Decentralized Decision-Making:</w:t>
      </w:r>
      <w:r>
        <w:t xml:space="preserve"> </w:t>
      </w:r>
      <w:r>
        <w:t xml:space="preserve">Editors are moving away from authoritarian "gatekeeper" models toward collaborative platforms that engage authors earlier in the revision process.</w:t>
      </w:r>
    </w:p>
    <w:p>
      <w:pPr>
        <w:numPr>
          <w:ilvl w:val="0"/>
          <w:numId w:val="1001"/>
        </w:numPr>
        <w:pStyle w:val="Compact"/>
      </w:pPr>
      <w:r>
        <w:rPr>
          <w:bCs/>
          <w:b/>
        </w:rPr>
        <w:t xml:space="preserve">Digital Integration:The integration of digital object identifiers (DOIs), cross-reference linking, and open-access mandates requires Editors to be technologically literate beyond traditional linguistics.</w:t>
      </w:r>
    </w:p>
    <w:p>
      <w:pPr>
        <w:numPr>
          <w:ilvl w:val="0"/>
          <w:numId w:val="1001"/>
        </w:numPr>
        <w:pStyle w:val="Compact"/>
      </w:pPr>
      <w:r>
        <w:t xml:space="preserve">Ethical Vigilance: With the rise of paper mills and AI-generated content, the Editor bears the ultimate responsibility for verifying authorship authenticity and intellectual integrity.</w:t>
      </w:r>
    </w:p>
    <w:p>
      <w:pPr>
        <w:pStyle w:val="FirstParagraph"/>
      </w:pPr>
      <w:r>
        <w:t xml:space="preserve">In the context of</w:t>
      </w:r>
      <w:r>
        <w:t xml:space="preserve"> </w:t>
      </w:r>
      <w:r>
        <w:rPr>
          <w:bCs/>
          <w:b/>
        </w:rPr>
        <w:t xml:space="preserve">Netherlands Amsterdam</w:t>
      </w:r>
      <w:r>
        <w:t xml:space="preserve">, institutions such as prominent universities and publishing houses are pioneering these shifts, offering a comparative advantage in implementing next-generation editorial standards.</w:t>
      </w:r>
    </w:p>
    <w:bookmarkEnd w:id="22"/>
    <w:bookmarkStart w:id="23" w:name="Xd5eb8c6c39fba983d33625f3efef4bf33e5789d"/>
    <w:p>
      <w:pPr>
        <w:pStyle w:val="Heading2"/>
      </w:pPr>
      <w:r>
        <w:t xml:space="preserve">3. Critical Challenges for the Modern Editor</w:t>
      </w:r>
    </w:p>
    <w:p>
      <w:pPr>
        <w:pStyle w:val="FirstParagraph"/>
      </w:pPr>
      <w:r>
        <w:t xml:space="preserve">The Poster Presentation identifies four critical challenges that define the contemporary Editorial experience:</w:t>
      </w:r>
    </w:p>
    <w:p>
      <w:pPr>
        <w:pStyle w:val="BodyText"/>
      </w:pPr>
      <w:r>
        <w:rPr>
          <w:bCs/>
          <w:b/>
        </w:rPr>
        <w:t xml:space="preserve">A. The Volume vs. Quality Dilemma:</w:t>
      </w:r>
    </w:p>
    <w:p>
      <w:pPr>
        <w:pStyle w:val="BodyText"/>
      </w:pPr>
      <w:r>
        <w:t xml:space="preserve">The exponential growth of scientific literature places immense pressure on Editors to manage high submission volumes without compromising the depth of review. Efficient triage systems are essential, yet they risk overlooking interdisciplinary nuances that do not fit standard categorization.</w:t>
      </w:r>
    </w:p>
    <w:p>
      <w:pPr>
        <w:pStyle w:val="BodyText"/>
      </w:pPr>
      <w:r>
        <w:rPr>
          <w:bCs/>
          <w:b/>
        </w:rPr>
        <w:t xml:space="preserve">B. Diversity and Inclusion:</w:t>
      </w:r>
    </w:p>
    <w:p>
      <w:pPr>
        <w:pStyle w:val="BodyText"/>
      </w:pPr>
      <w:r>
        <w:t xml:space="preserve">Editors must actively combat bias in peer review and author selection. This includes ensuring diverse geographic representation (moving beyond Western-centric narratives) and promoting gender equality in editorial boards. The academic community in</w:t>
      </w:r>
      <w:r>
        <w:t xml:space="preserve"> </w:t>
      </w:r>
      <w:r>
        <w:rPr>
          <w:bCs/>
          <w:b/>
        </w:rPr>
        <w:t xml:space="preserve">Netherlands Amsterdam</w:t>
      </w:r>
      <w:r>
        <w:t xml:space="preserve"> </w:t>
      </w:r>
      <w:r>
        <w:t xml:space="preserve">has been particularly vocal about these issues, influencing global publishing policies.</w:t>
      </w:r>
    </w:p>
    <w:p>
      <w:pPr>
        <w:pStyle w:val="BodyText"/>
      </w:pPr>
      <w:r>
        <w:rPr>
          <w:bCs/>
          <w:b/>
        </w:rPr>
        <w:t xml:space="preserve">C. Open Science Compliance:</w:t>
      </w:r>
    </w:p>
    <w:p>
      <w:pPr>
        <w:pStyle w:val="BodyText"/>
      </w:pPr>
      <w:r>
        <w:t xml:space="preserve">The mandate for open access data and code sharing requires Editors to verify not just the text of a manuscript, but the associated datasets. This adds a layer of technical complexity to the editorial review process, demanding new skill sets.</w:t>
      </w:r>
    </w:p>
    <w:p>
      <w:pPr>
        <w:pStyle w:val="BodyText"/>
      </w:pPr>
      <w:r>
        <w:rPr>
          <w:bCs/>
          <w:b/>
        </w:rPr>
        <w:t xml:space="preserve">D. Mental Health and Burnout:</w:t>
      </w:r>
    </w:p>
    <w:p>
      <w:pPr>
        <w:pStyle w:val="BodyText"/>
      </w:pPr>
      <w:r>
        <w:t xml:space="preserve">The emotional labor involved in rejecting manuscripts and handling contentious peer reviews contributes significantly to editor burnout. Sustainable editorial practices are necessary to retain experienced academic professionals.</w:t>
      </w:r>
    </w:p>
    <w:bookmarkEnd w:id="23"/>
    <w:bookmarkStart w:id="27" w:name="X9758ece86382c43daaf4b6c6915b0af6c1b5ecb"/>
    <w:p>
      <w:pPr>
        <w:pStyle w:val="Heading2"/>
      </w:pPr>
      <w:r>
        <w:t xml:space="preserve">4. Case Study: The Editorial Ecosystem in Netherlands Amsterdam</w:t>
      </w:r>
    </w:p>
    <w:p>
      <w:pPr>
        <w:pStyle w:val="FirstParagraph"/>
      </w:pPr>
      <w:r>
        <w:rPr>
          <w:bCs/>
          <w:b/>
        </w:rPr>
        <w:t xml:space="preserve">Netherlands Amsterdam</w:t>
      </w:r>
      <w:r>
        <w:t xml:space="preserve"> </w:t>
      </w:r>
      <w:r>
        <w:t xml:space="preserve">stands out as a unique laboratory for editorial innovation. The city hosts a concentration of major international publishers, academic institutions, and research centers that interact in dynamic ways. This section analyzes how the local academic culture influences editorial standards.</w:t>
      </w:r>
    </w:p>
    <w:bookmarkStart w:id="24" w:name="the-collaborative-model"/>
    <w:p>
      <w:pPr>
        <w:pStyle w:val="Heading3"/>
      </w:pPr>
      <w:r>
        <w:t xml:space="preserve">The Collaborative Model</w:t>
      </w:r>
    </w:p>
    <w:p>
      <w:pPr>
        <w:pStyle w:val="FirstParagraph"/>
      </w:pPr>
      <w:r>
        <w:t xml:space="preserve">In Amsterdam, the proximity between universities (such as the University of Amsterdam) and publishing entities fosters a collaborative environment. Editors often serve as researchers themselves, bridging the gap between theory and practice. This dual role allows for a deeper understanding of subject-specific nuances, enhancing the quality of editorial decisions.</w:t>
      </w:r>
    </w:p>
    <w:bookmarkEnd w:id="24"/>
    <w:bookmarkStart w:id="25" w:name="digital-infrastructure"/>
    <w:p>
      <w:pPr>
        <w:pStyle w:val="Heading3"/>
      </w:pPr>
      <w:r>
        <w:t xml:space="preserve">Digital Infrastructure</w:t>
      </w:r>
    </w:p>
    <w:p>
      <w:pPr>
        <w:pStyle w:val="FirstParagraph"/>
      </w:pPr>
      <w:r>
        <w:t xml:space="preserve">The city is also at the forefront of digital humanities and data science. Editors in this region are frequently exposed to advanced computational tools that aid in plagiarism detection and citation analysis. The integration of these technologies reflects a forward-thinking approach to editing, where data-driven insights supplement human intuition.</w:t>
      </w:r>
    </w:p>
    <w:bookmarkEnd w:id="25"/>
    <w:bookmarkStart w:id="26" w:name="ethical-leadership"/>
    <w:p>
      <w:pPr>
        <w:pStyle w:val="Heading3"/>
      </w:pPr>
      <w:r>
        <w:t xml:space="preserve">Ethical Leadership</w:t>
      </w:r>
    </w:p>
    <w:p>
      <w:pPr>
        <w:pStyle w:val="FirstParagraph"/>
      </w:pPr>
      <w:r>
        <w:t xml:space="preserve">Furthermore, the academic community in</w:t>
      </w:r>
      <w:r>
        <w:t xml:space="preserve"> </w:t>
      </w:r>
      <w:r>
        <w:rPr>
          <w:bCs/>
          <w:b/>
        </w:rPr>
        <w:t xml:space="preserve">Netherlands Amsterdam</w:t>
      </w:r>
      <w:r>
        <w:t xml:space="preserve"> </w:t>
      </w:r>
      <w:r>
        <w:t xml:space="preserve">is renowned for its commitment to ethical research practices. Editorial boards affiliated with institutions here often serve as model guidelines for global standards regarding data privacy, consent in human subject research, and conflict-of-interest disclosures.</w:t>
      </w:r>
    </w:p>
    <w:bookmarkEnd w:id="26"/>
    <w:bookmarkEnd w:id="27"/>
    <w:bookmarkStart w:id="28" w:name="future-directions-and-recommendations"/>
    <w:p>
      <w:pPr>
        <w:pStyle w:val="Heading2"/>
      </w:pPr>
      <w:r>
        <w:t xml:space="preserve">5. Future Directions and Recommendations</w:t>
      </w:r>
    </w:p>
    <w:p>
      <w:pPr>
        <w:pStyle w:val="FirstParagraph"/>
      </w:pPr>
      <w:r>
        <w:t xml:space="preserve">To sustain the integrity of academic publishing, this presentation proposes several recommendations for Editors worldwide, with specific applicability to hubs like</w:t>
      </w:r>
      <w:r>
        <w:t xml:space="preserve"> </w:t>
      </w:r>
      <w:r>
        <w:rPr>
          <w:bCs/>
          <w:b/>
        </w:rPr>
        <w:t xml:space="preserve">Netherlands Amsterdam</w:t>
      </w:r>
      <w:r>
        <w:t xml:space="preserve">:</w:t>
      </w:r>
    </w:p>
    <w:p>
      <w:pPr>
        <w:numPr>
          <w:ilvl w:val="0"/>
          <w:numId w:val="1002"/>
        </w:numPr>
        <w:pStyle w:val="Compact"/>
      </w:pPr>
      <w:r>
        <w:rPr>
          <w:bCs/>
          <w:b/>
        </w:rPr>
        <w:t xml:space="preserve">Continuous Professional Development: Editors must engage in ongoing training regarding AI ethics, data visualization standards, and inclusive language practices.</w:t>
      </w:r>
    </w:p>
    <w:p>
      <w:pPr>
        <w:numPr>
          <w:ilvl w:val="0"/>
          <w:numId w:val="1002"/>
        </w:numPr>
        <w:pStyle w:val="Compact"/>
      </w:pPr>
      <w:r>
        <w:rPr>
          <w:bCs/>
          <w:b/>
        </w:rPr>
        <w:t xml:space="preserve">Mentorship Programs:Newer Editors should be mentored by senior scholars to develop the nuanced judgment required for complex decisions.</w:t>
      </w:r>
    </w:p>
    <w:p>
      <w:pPr>
        <w:numPr>
          <w:ilvl w:val="0"/>
          <w:numId w:val="1002"/>
        </w:numPr>
        <w:pStyle w:val="Compact"/>
      </w:pPr>
      <w:r>
        <w:rPr>
          <w:bCs/>
          <w:b/>
        </w:rPr>
        <w:t xml:space="preserve">Interdisciplinary Editorial Boards:Expanding editorial boards to include experts from diverse fields can help in evaluating cross-disciplinary research effectively.</w:t>
      </w:r>
    </w:p>
    <w:p>
      <w:pPr>
        <w:numPr>
          <w:ilvl w:val="0"/>
          <w:numId w:val="1002"/>
        </w:numPr>
        <w:pStyle w:val="Compact"/>
      </w:pPr>
      <w:r>
        <w:t xml:space="preserve">Enhanced Transparency:Publishers and Editors should adopt transparent decision-making processes, providing authors with clear feedback loops and access to reviewer comments (where appropriate).</w:t>
      </w:r>
    </w:p>
    <w:bookmarkEnd w:id="28"/>
    <w:bookmarkStart w:id="29" w:name="conclusion"/>
    <w:p>
      <w:pPr>
        <w:pStyle w:val="Heading2"/>
      </w:pPr>
      <w:r>
        <w:t xml:space="preserve">6. Conclusion</w:t>
      </w:r>
    </w:p>
    <w:p>
      <w:pPr>
        <w:pStyle w:val="FirstParagraph"/>
      </w:pPr>
      <w:r>
        <w:t xml:space="preserve">The role of the Editor is more critical than ever in ensuring the reliability and accessibility of scientific knowledge. As we have explored, particularly through the lens of</w:t>
      </w:r>
      <w:r>
        <w:t xml:space="preserve"> </w:t>
      </w:r>
      <w:r>
        <w:rPr>
          <w:bCs/>
          <w:b/>
        </w:rPr>
        <w:t xml:space="preserve">Netherlands Amsterdam</w:t>
      </w:r>
      <w:r>
        <w:t xml:space="preserve">, the modern Editor must be a hybrid professional: part scholar, part technologist, and part ethicist. The challenges presented by digital transformation are significant, but they also offer opportunities for innovation and improvement in scholarly communication.</w:t>
      </w:r>
    </w:p>
    <w:p>
      <w:pPr>
        <w:pStyle w:val="BodyText"/>
      </w:pPr>
      <w:r>
        <w:t xml:space="preserve">By adopting proactive strategies that emphasize transparency, inclusivity, and technological literacy, Editors can maintain the high standards of academic integrity that society expects. This Poster Presentation serves as a call to action for all stakeholders in the publishing world to recognize and support the evolving needs of Editors. Only through such collective effort can we ensure that academic publishing remains a robust engine for global knowledge advancement.</w:t>
      </w:r>
    </w:p>
    <w:bookmarkEnd w:id="29"/>
    <w:bookmarkStart w:id="30" w:name="references-acknowledgments"/>
    <w:p>
      <w:pPr>
        <w:pStyle w:val="Heading2"/>
      </w:pPr>
      <w:r>
        <w:t xml:space="preserve">References &amp; Acknowledgments</w:t>
      </w:r>
    </w:p>
    <w:p>
      <w:pPr>
        <w:numPr>
          <w:ilvl w:val="0"/>
          <w:numId w:val="1003"/>
        </w:numPr>
        <w:pStyle w:val="Compact"/>
      </w:pPr>
      <w:r>
        <w:t xml:space="preserve">International Committee of Medical Journal Editors (ICMJE). (2023). Recommendations for the Conduct, Reporting, Editing, and Publication of Scholarly Work in Medical Journals.</w:t>
      </w:r>
    </w:p>
    <w:p>
      <w:pPr>
        <w:numPr>
          <w:ilvl w:val="0"/>
          <w:numId w:val="1003"/>
        </w:numPr>
        <w:pStyle w:val="Compact"/>
      </w:pPr>
      <w:r>
        <w:t xml:space="preserve">Bolton,L. et al. (2019). "The changing role of the academic editor." Nature Publishing Group.</w:t>
      </w:r>
    </w:p>
    <w:p>
      <w:pPr>
        <w:numPr>
          <w:ilvl w:val="0"/>
          <w:numId w:val="1003"/>
        </w:numPr>
        <w:pStyle w:val="Compact"/>
      </w:pPr>
      <w:r>
        <w:t xml:space="preserve">University of Amsterdam Library Services. (2024). Open Access Guidelines and Editorial Support Resources, Netherlands Amsterdam.</w:t>
      </w:r>
    </w:p>
    <w:p>
      <w:pPr>
        <w:pStyle w:val="FirstParagraph"/>
      </w:pPr>
      <w:r>
        <w:rPr>
          <w:iCs/>
          <w:i/>
        </w:rPr>
        <w:t xml:space="preserve">Acknowledgments: We thank the editorial boards of major journals based in Netherlands Amsterdam for their insights into current operational challenges.</w:t>
      </w:r>
    </w:p>
    <w:p>
      <w:pPr>
        <w:pStyle w:val="BodyText"/>
      </w:pPr>
      <w:r>
        <w:t xml:space="preserve">© 2024 Academic Poster Presentation Series. Presented at the International Symposium on Scholarly Communication.</w:t>
      </w:r>
      <w:r>
        <w:br/>
      </w:r>
      <w:r>
        <w:t xml:space="preserve">Location: Netherlands Amsterdam | Contact: info@academicposter.org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Editor in the Digital Age</dc:title>
  <dc:creator/>
  <dc:language>en</dc:language>
  <cp:keywords/>
  <dcterms:created xsi:type="dcterms:W3CDTF">2026-07-29T10:10:40Z</dcterms:created>
  <dcterms:modified xsi:type="dcterms:W3CDTF">2026-07-29T10:10:40Z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