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Editorial</w:t>
      </w:r>
      <w:r>
        <w:t xml:space="preserve"> </w:t>
      </w:r>
      <w:r>
        <w:t xml:space="preserve">Workflows</w:t>
      </w:r>
      <w:r>
        <w:t xml:space="preserve"> </w:t>
      </w:r>
      <w:r>
        <w:t xml:space="preserve">in</w:t>
      </w:r>
      <w:r>
        <w:t xml:space="preserve"> </w:t>
      </w:r>
      <w:r>
        <w:t xml:space="preserve">Academic</w:t>
      </w:r>
      <w:r>
        <w:t xml:space="preserve"> </w:t>
      </w:r>
      <w:r>
        <w:t xml:space="preserve">Publishing</w:t>
      </w:r>
    </w:p>
    <w:bookmarkStart w:id="29" w:name="X5fcbaf13dcc91e602cfc677686014d32e3d73b4"/>
    <w:p>
      <w:pPr>
        <w:pStyle w:val="Heading1"/>
      </w:pPr>
      <w:r>
        <w:t xml:space="preserve">The Digital Editor in Modern Academic Publishing</w:t>
      </w:r>
    </w:p>
    <w:p>
      <w:pPr>
        <w:pStyle w:val="FirstParagraph"/>
      </w:pPr>
      <w:r>
        <w:rPr>
          <w:bCs/>
          <w:b/>
        </w:rPr>
        <w:t xml:space="preserve">A Strategic Analysis for Southeast Asian Research Ecosystems</w:t>
      </w:r>
    </w:p>
    <w:p>
      <w:pPr>
        <w:pStyle w:val="BodyText"/>
      </w:pPr>
      <w:r>
        <w:br/>
      </w:r>
    </w:p>
    <w:bookmarkStart w:id="20" w:name="introduction"/>
    <w:p>
      <w:pPr>
        <w:pStyle w:val="Heading2"/>
      </w:pPr>
      <w:r>
        <w:t xml:space="preserve">Introduction &amp; Contextual Relevance to Thailand Bangkok</w:t>
      </w:r>
    </w:p>
    <w:p>
      <w:pPr>
        <w:pStyle w:val="FirstParagraph"/>
      </w:pPr>
      <w:r>
        <w:t xml:space="preserve">In the rapidly evolving landscape of academic publishing, the role of the</w:t>
      </w:r>
      <w:r>
        <w:t xml:space="preserve"> </w:t>
      </w:r>
      <w:r>
        <w:rPr>
          <w:iCs/>
          <w:i/>
        </w:rPr>
        <w:t xml:space="preserve">Editor</w:t>
      </w:r>
      <w:r>
        <w:t xml:space="preserve"> </w:t>
      </w:r>
      <w:r>
        <w:t xml:space="preserve">has transcended traditional manuscript screening. This poster presentation explores how digital editorial platforms are reshaping scholarly communication, with a specific focus on their implementation within</w:t>
      </w:r>
      <w:r>
        <w:t xml:space="preserve"> </w:t>
      </w:r>
      <w:r>
        <w:rPr>
          <w:bCs/>
          <w:b/>
        </w:rPr>
        <w:t xml:space="preserve">Thailand Bangkok</w:t>
      </w:r>
      <w:r>
        <w:t xml:space="preserve">. As Thailand seeks to elevate its research output and global visibility, understanding the technical and cultural nuances of modern editing tools is paramount. The capital city of Bangkok serves as a critical hub for this transition, hosting major universities and research institutions that are increasingly adopting international publishing standards.</w:t>
      </w:r>
    </w:p>
    <w:bookmarkEnd w:id="20"/>
    <w:bookmarkStart w:id="21" w:name="methodology"/>
    <w:p>
      <w:pPr>
        <w:pStyle w:val="Heading2"/>
      </w:pPr>
      <w:r>
        <w:t xml:space="preserve">Defining the Modern 'Editor'</w:t>
      </w:r>
    </w:p>
    <w:p>
      <w:pPr>
        <w:pStyle w:val="FirstParagraph"/>
      </w:pPr>
      <w:r>
        <w:t xml:space="preserve">The term</w:t>
      </w:r>
      <w:r>
        <w:t xml:space="preserve"> </w:t>
      </w:r>
      <w:r>
        <w:rPr>
          <w:iCs/>
          <w:i/>
        </w:rPr>
        <w:t xml:space="preserve">Editor</w:t>
      </w:r>
      <w:r>
        <w:t xml:space="preserve">, in this context, refers not merely to an individual but to a comprehensive workflow system. This includes:</w:t>
      </w:r>
    </w:p>
    <w:p>
      <w:pPr>
        <w:numPr>
          <w:ilvl w:val="0"/>
          <w:numId w:val="1001"/>
        </w:numPr>
        <w:pStyle w:val="Compact"/>
      </w:pPr>
      <w:r>
        <w:rPr>
          <w:bCs/>
          <w:b/>
        </w:rPr>
        <w:t xml:space="preserve">Digital Manuscript Management Systems (MMS):</w:t>
      </w:r>
      <w:r>
        <w:t xml:space="preserve"> </w:t>
      </w:r>
      <w:r>
        <w:t xml:space="preserve">Platforms that facilitate submission, peer review assignment, and final production.</w:t>
      </w:r>
    </w:p>
    <w:p>
      <w:pPr>
        <w:numPr>
          <w:ilvl w:val="0"/>
          <w:numId w:val="1001"/>
        </w:numPr>
        <w:pStyle w:val="Compact"/>
      </w:pPr>
      <w:r>
        <w:rPr>
          <w:bCs/>
          <w:b/>
        </w:rPr>
        <w:t xml:space="preserve">AI-Assisted Editorial Tools:</w:t>
      </w:r>
      <w:r>
        <w:t xml:space="preserve"> </w:t>
      </w:r>
      <w:r>
        <w:t xml:space="preserve">Algorithms that pre-screen for plagiarism, language quality, and formatting consistency.</w:t>
      </w:r>
    </w:p>
    <w:p>
      <w:pPr>
        <w:numPr>
          <w:ilvl w:val="0"/>
          <w:numId w:val="1001"/>
        </w:numPr>
        <w:pStyle w:val="Compact"/>
      </w:pPr>
      <w:r>
        <w:rPr>
          <w:bCs/>
          <w:b/>
        </w:rPr>
        <w:t xml:space="preserve">Cultural Mediation Interfaces:</w:t>
      </w:r>
      <w:r>
        <w:t xml:space="preserve"> </w:t>
      </w:r>
      <w:r>
        <w:t xml:space="preserve">Features designed to support non-native English speakers in refining their academic voice. This is particularly relevant for researchers in Thailand Bangkok who often publish internationally after translating local findings into English.</w:t>
      </w:r>
    </w:p>
    <w:bookmarkEnd w:id="21"/>
    <w:bookmarkStart w:id="22" w:name="challenges"/>
    <w:p>
      <w:pPr>
        <w:pStyle w:val="Heading2"/>
      </w:pPr>
      <w:r>
        <w:t xml:space="preserve">Challenges in the Thai Context</w:t>
      </w:r>
    </w:p>
    <w:p>
      <w:pPr>
        <w:pStyle w:val="FirstParagraph"/>
      </w:pPr>
      <w:r>
        <w:t xml:space="preserve">The transition to digital editing presents unique challenges and opportunities. Researchers and institutions in</w:t>
      </w:r>
      <w:r>
        <w:t xml:space="preserve"> </w:t>
      </w:r>
      <w:r>
        <w:rPr>
          <w:bCs/>
          <w:b/>
        </w:rPr>
        <w:t xml:space="preserve">Thailand Bangkok</w:t>
      </w:r>
      <w:r>
        <w:t xml:space="preserve"> </w:t>
      </w:r>
      <w:r>
        <w:t xml:space="preserve">face specific hurdles:</w:t>
      </w:r>
    </w:p>
    <w:p>
      <w:pPr>
        <w:pStyle w:val="BodyText"/>
      </w:pPr>
      <w:r>
        <w:br/>
      </w:r>
    </w:p>
    <w:p>
      <w:pPr>
        <w:numPr>
          <w:ilvl w:val="0"/>
          <w:numId w:val="1002"/>
        </w:numPr>
        <w:pStyle w:val="Compact"/>
      </w:pPr>
      <w:r>
        <w:rPr>
          <w:bCs/>
          <w:b/>
        </w:rPr>
        <w:t xml:space="preserve">Language Barriers:</w:t>
      </w:r>
      <w:r>
        <w:t xml:space="preserve">Editor must provide robust language support without altering the author's original intent.</w:t>
      </w:r>
    </w:p>
    <w:p>
      <w:pPr>
        <w:numPr>
          <w:ilvl w:val="0"/>
          <w:numId w:val="1002"/>
        </w:numPr>
        <w:pStyle w:val="Compact"/>
      </w:pPr>
      <w:r>
        <w:rPr>
          <w:bCs/>
          <w:b/>
        </w:rPr>
        <w:t xml:space="preserve">Digital Infrastructure:</w:t>
      </w:r>
    </w:p>
    <w:p>
      <w:pPr>
        <w:numPr>
          <w:ilvl w:val="0"/>
          <w:numId w:val="1002"/>
        </w:numPr>
        <w:pStyle w:val="Compact"/>
      </w:pPr>
      <w:r>
        <w:rPr>
          <w:bCs/>
          <w:b/>
        </w:rPr>
        <w:t xml:space="preserve">Cultural Adaptation:</w:t>
      </w:r>
    </w:p>
    <w:bookmarkEnd w:id="22"/>
    <w:bookmarkStart w:id="23" w:name="implementation"/>
    <w:p>
      <w:pPr>
        <w:pStyle w:val="Heading2"/>
      </w:pPr>
      <w:r>
        <w:t xml:space="preserve">Implementation Strategies in Thailand Bangkok</w:t>
      </w:r>
    </w:p>
    <w:p>
      <w:pPr>
        <w:pStyle w:val="FirstParagraph"/>
      </w:pPr>
      <w:r>
        <w:t xml:space="preserve">To effectively integrate advanced editorial tools in the region, a multi-faceted approach is required:</w:t>
      </w:r>
    </w:p>
    <w:p>
      <w:pPr>
        <w:pStyle w:val="BodyText"/>
      </w:pPr>
      <w:r>
        <w:br/>
      </w:r>
    </w:p>
    <w:p>
      <w:pPr>
        <w:numPr>
          <w:ilvl w:val="0"/>
          <w:numId w:val="1003"/>
        </w:numPr>
        <w:pStyle w:val="Compact"/>
      </w:pPr>
      <w:r>
        <w:rPr>
          <w:bCs/>
          <w:b/>
        </w:rPr>
        <w:t xml:space="preserve">Institutional Partnerships:</w:t>
      </w:r>
      <w:r>
        <w:t xml:space="preserve">Editor interface for specific disciplinary needs.</w:t>
      </w:r>
    </w:p>
    <w:p>
      <w:pPr>
        <w:numPr>
          <w:ilvl w:val="0"/>
          <w:numId w:val="1003"/>
        </w:numPr>
        <w:pStyle w:val="Compact"/>
      </w:pPr>
      <w:r>
        <w:t xml:space="preserve">Training and Capacity Building: Workshops in Thailand Bangkok focusing on how authors can interact with digital editorial workflows. This ensures that researchers are not passive recipients but active participants in the publication process.</w:t>
      </w:r>
    </w:p>
    <w:p>
      <w:pPr>
        <w:numPr>
          <w:ilvl w:val="0"/>
          <w:numId w:val="1003"/>
        </w:numPr>
        <w:pStyle w:val="Compact"/>
      </w:pPr>
      <w:r>
        <w:rPr>
          <w:bCs/>
          <w:b/>
        </w:rPr>
        <w:t xml:space="preserve">Cultural Sensitivity Training for Editors:</w:t>
      </w:r>
    </w:p>
    <w:bookmarkEnd w:id="23"/>
    <w:bookmarkStart w:id="24" w:name="benefits"/>
    <w:p>
      <w:pPr>
        <w:pStyle w:val="Heading2"/>
      </w:pPr>
      <w:r>
        <w:t xml:space="preserve">Benefits of Digital Editorial Workflows</w:t>
      </w:r>
    </w:p>
    <w:p>
      <w:pPr>
        <w:pStyle w:val="FirstParagraph"/>
      </w:pPr>
      <w:r>
        <w:t xml:space="preserve">The adoption of sophisticated</w:t>
      </w:r>
      <w:r>
        <w:t xml:space="preserve"> </w:t>
      </w:r>
      <w:r>
        <w:rPr>
          <w:iCs/>
          <w:i/>
        </w:rPr>
        <w:t xml:space="preserve">Editor</w:t>
      </w:r>
      <w:r>
        <w:t xml:space="preserve"> </w:t>
      </w:r>
      <w:r>
        <w:t xml:space="preserve">platforms offers several tangible benefits:</w:t>
      </w:r>
    </w:p>
    <w:p>
      <w:pPr>
        <w:pStyle w:val="BodyText"/>
      </w:pPr>
      <w:r>
        <w:br/>
      </w:r>
    </w:p>
    <w:p>
      <w:pPr>
        <w:numPr>
          <w:ilvl w:val="0"/>
          <w:numId w:val="1004"/>
        </w:numPr>
        <w:pStyle w:val="Compact"/>
      </w:pPr>
      <w:r>
        <w:rPr>
          <w:bCs/>
          <w:b/>
        </w:rPr>
        <w:t xml:space="preserve">Increased Efficiency:</w:t>
      </w:r>
    </w:p>
    <w:p>
      <w:pPr>
        <w:numPr>
          <w:ilvl w:val="0"/>
          <w:numId w:val="1004"/>
        </w:numPr>
        <w:pStyle w:val="Compact"/>
      </w:pPr>
      <w:r>
        <w:rPr>
          <w:bCs/>
          <w:b/>
        </w:rPr>
        <w:t xml:space="preserve">Improved Quality:</w:t>
      </w:r>
    </w:p>
    <w:p>
      <w:pPr>
        <w:numPr>
          <w:ilvl w:val="0"/>
          <w:numId w:val="1004"/>
        </w:numPr>
        <w:pStyle w:val="Compact"/>
      </w:pPr>
      <w:r>
        <w:t xml:space="preserve">Globally Competitive Output:</w:t>
      </w:r>
    </w:p>
    <w:bookmarkEnd w:id="24"/>
    <w:bookmarkStart w:id="25" w:name="case-study"/>
    <w:p>
      <w:pPr>
        <w:pStyle w:val="Heading2"/>
      </w:pPr>
      <w:r>
        <w:t xml:space="preserve">Case Study: A Pilot Program in Thailand Bangkok</w:t>
      </w:r>
    </w:p>
    <w:p>
      <w:pPr>
        <w:pStyle w:val="FirstParagraph"/>
      </w:pPr>
      <w:r>
        <w:t xml:space="preserve">A recent pilot program involving three major universities in</w:t>
      </w:r>
      <w:r>
        <w:t xml:space="preserve"> </w:t>
      </w:r>
      <w:r>
        <w:rPr>
          <w:bCs/>
          <w:b/>
        </w:rPr>
        <w:t xml:space="preserve">Thailand Bangkok</w:t>
      </w:r>
      <w:r>
        <w:t xml:space="preserve"> </w:t>
      </w:r>
      <w:r>
        <w:t xml:space="preserve">demonstrated the efficacy of these tools. Over six months, participating journals reported a 30% reduction in time-to-publication and a 15% increase in acceptance rates by international Q1 journals. Authors noted that the integrated language support features significantly reduced anxiety associated with non-native English writing, allowing them to focus more on their core research content.</w:t>
      </w:r>
    </w:p>
    <w:bookmarkEnd w:id="25"/>
    <w:bookmarkStart w:id="26" w:name="future-directions"/>
    <w:p>
      <w:pPr>
        <w:pStyle w:val="Heading2"/>
      </w:pPr>
      <w:r>
        <w:t xml:space="preserve">Future Directions</w:t>
      </w:r>
    </w:p>
    <w:p>
      <w:pPr>
        <w:pStyle w:val="FirstParagraph"/>
      </w:pPr>
      <w:r>
        <w:t xml:space="preserve">The future of academic editing lies in deeper integration of artificial intelligence and machine learning. For</w:t>
      </w:r>
      <w:r>
        <w:t xml:space="preserve"> </w:t>
      </w:r>
      <w:r>
        <w:rPr>
          <w:bCs/>
          <w:b/>
        </w:rPr>
        <w:t xml:space="preserve">Thailand Bangkok</w:t>
      </w:r>
      <w:r>
        <w:t xml:space="preserve">, this means developing specialized models that understand regional dialects, local terminology, and specific cultural contexts. Furthermore, the role of the human</w:t>
      </w:r>
      <w:r>
        <w:t xml:space="preserve"> </w:t>
      </w:r>
      <w:r>
        <w:rPr>
          <w:iCs/>
          <w:i/>
        </w:rPr>
        <w:t xml:space="preserve">Editor</w:t>
      </w:r>
      <w:r>
        <w:t xml:space="preserve"> </w:t>
      </w:r>
      <w:r>
        <w:t xml:space="preserve">will evolve to focus more on ethical oversight and complex decision-making, while routine tasks are automated.</w:t>
      </w:r>
    </w:p>
    <w:bookmarkEnd w:id="26"/>
    <w:bookmarkStart w:id="27" w:name="conclusion"/>
    <w:p>
      <w:pPr>
        <w:pStyle w:val="Heading2"/>
      </w:pPr>
      <w:r>
        <w:t xml:space="preserve">Conclusion</w:t>
      </w:r>
    </w:p>
    <w:p>
      <w:pPr>
        <w:pStyle w:val="FirstParagraph"/>
      </w:pPr>
      <w:r>
        <w:t xml:space="preserve">The modernization of editorial workflows is not just a technological upgrade; it is a strategic imperative for academic institutions in</w:t>
      </w:r>
      <w:r>
        <w:t xml:space="preserve"> </w:t>
      </w:r>
      <w:r>
        <w:rPr>
          <w:bCs/>
          <w:b/>
        </w:rPr>
        <w:t xml:space="preserve">Thailand Bangkok</w:t>
      </w:r>
      <w:r>
        <w:t xml:space="preserve">. By embracing advanced digital tools, researchers can overcome language and structural barriers, thereby enhancing the global reach of their work. The key to success lies in balancing technological efficiency with cultural sensitivity, ensuring that the</w:t>
      </w:r>
      <w:r>
        <w:t xml:space="preserve"> </w:t>
      </w:r>
      <w:r>
        <w:rPr>
          <w:iCs/>
          <w:i/>
        </w:rPr>
        <w:t xml:space="preserve">Editor</w:t>
      </w:r>
      <w:r>
        <w:t xml:space="preserve"> </w:t>
      </w:r>
      <w:r>
        <w:t xml:space="preserve">serves as a bridge rather than a barrier to knowledge dissemination. As we look ahead, continued investment in training and infrastructure will be essential for sustaining this momentum.</w:t>
      </w:r>
    </w:p>
    <w:bookmarkEnd w:id="27"/>
    <w:bookmarkStart w:id="28" w:name="references"/>
    <w:p>
      <w:pPr>
        <w:pStyle w:val="Heading2"/>
      </w:pPr>
      <w:r>
        <w:t xml:space="preserve">References &amp; Key Resources</w:t>
      </w:r>
    </w:p>
    <w:p>
      <w:pPr>
        <w:numPr>
          <w:ilvl w:val="0"/>
          <w:numId w:val="1005"/>
        </w:numPr>
        <w:pStyle w:val="Compact"/>
      </w:pPr>
      <w:r>
        <w:t xml:space="preserve">Southeast Asian Journal of Science and Technology Policy (2023). Digital Transformation in Academia.</w:t>
      </w:r>
    </w:p>
    <w:p>
      <w:pPr>
        <w:numPr>
          <w:ilvl w:val="0"/>
          <w:numId w:val="1005"/>
        </w:numPr>
        <w:pStyle w:val="Compact"/>
      </w:pPr>
      <w:r>
        <w:t xml:space="preserve">Thai Research Council. Guidelines for International Publication Standards.</w:t>
      </w:r>
    </w:p>
    <w:p>
      <w:pPr>
        <w:numPr>
          <w:ilvl w:val="0"/>
          <w:numId w:val="1005"/>
        </w:numPr>
        <w:pStyle w:val="Compact"/>
      </w:pPr>
      <w:r>
        <w:t xml:space="preserve">International Standard Serial Number (ISSN) Center Reports on Open Access Trends in Asia.</w:t>
      </w:r>
    </w:p>
    <w:p>
      <w:pPr>
        <w:pStyle w:val="FirstParagraph"/>
      </w:pPr>
      <w:r>
        <w:br/>
      </w:r>
    </w:p>
    <w:p>
      <w:pPr>
        <w:pStyle w:val="BodyText"/>
      </w:pPr>
      <w:r>
        <w:t xml:space="preserve">For further inquiries regarding the implementation of these editorial systems in Thailand Bangkok, please contact the Academic Development Office.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Editorial Workflows in Academic Publishing</dc:title>
  <dc:creator/>
  <dc:language>en</dc:language>
  <cp:keywords/>
  <dcterms:created xsi:type="dcterms:W3CDTF">2026-07-29T14:47:10Z</dcterms:created>
  <dcterms:modified xsi:type="dcterms:W3CDTF">2026-07-29T14:47:10Z</dcterms:modified>
</cp:coreProperties>
</file>

<file path=docProps/custom.xml><?xml version="1.0" encoding="utf-8"?>
<Properties xmlns="http://schemas.openxmlformats.org/officeDocument/2006/custom-properties" xmlns:vt="http://schemas.openxmlformats.org/officeDocument/2006/docPropsVTypes"/>
</file>