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Toronto</w:t>
      </w:r>
    </w:p>
    <w:tbl>
      <w:tblPr>
        <w:tblStyle w:val="Table"/>
        <w:tblW w:type="pct" w:w="5000"/>
        <w:tblLook w:firstRow="0" w:lastRow="0" w:firstColumn="0" w:lastColumn="0" w:noHBand="0" w:noVBand="0" w:val="0000"/>
      </w:tblPr>
      <w:tblGrid>
        <w:gridCol w:w="2640"/>
        <w:gridCol w:w="2640"/>
        <w:gridCol w:w="2640"/>
      </w:tblGrid>
      <w:tr>
        <w:tc>
          <w:tcPr>
            <w:gridSpan w:val="3"/>
          </w:tcPr>
          <w:p>
            <w:pPr>
              <w:pStyle w:val="Heading1"/>
              <w:jc w:val="left"/>
            </w:pPr>
            <w:bookmarkStart w:id="20" w:name="X8b775a63e2bbc0d9580a3036d97178df7aa107d"/>
            <w:r>
              <w:t xml:space="preserve">Navigating Educational Leadership in Canada Toronto: A Strategic Approach to Equity, Innovation, and Community Engagement</w:t>
            </w:r>
            <w:bookmarkEnd w:id="20"/>
          </w:p>
          <w:p>
            <w:pPr>
              <w:jc w:val="left"/>
            </w:pPr>
            <w:r>
              <w:rPr>
                <w:bCs/>
                <w:b/>
              </w:rPr>
              <w:t xml:space="preserve">Conference:</w:t>
            </w:r>
            <w:r>
              <w:t xml:space="preserve"> </w:t>
            </w:r>
            <w:r>
              <w:t xml:space="preserve">International Symposium on Educational Administration &amp; Policy Analysis</w:t>
            </w:r>
          </w:p>
        </w:tc>
      </w:tr>
      <w:tr>
        <w:tc>
          <w:tcPr/>
          <w:p>
            <w:pPr>
              <w:pStyle w:val="Heading2"/>
              <w:jc w:val="left"/>
            </w:pPr>
            <w:bookmarkStart w:id="21" w:name="abstract-introduction"/>
            <w:r>
              <w:t xml:space="preserve">Abstract &amp; Introduction</w:t>
            </w:r>
            <w:bookmarkEnd w:id="21"/>
          </w:p>
          <w:p>
            <w:pPr>
              <w:jc w:val="left"/>
            </w:pPr>
            <w:r>
              <w:t xml:space="preserve">This</w:t>
            </w:r>
            <w:r>
              <w:t xml:space="preserve"> </w:t>
            </w:r>
            <w:r>
              <w:rPr>
                <w:iCs/>
                <w:i/>
                <w:bCs/>
                <w:b/>
              </w:rPr>
              <w:t xml:space="preserve">Poster Presentation academic</w:t>
            </w:r>
            <w:r>
              <w:t xml:space="preserve"> </w:t>
            </w:r>
            <w:r>
              <w:t xml:space="preserve">document provides a comprehensive examination of the pivotal role that the modern</w:t>
            </w:r>
            <w:r>
              <w:t xml:space="preserve"> </w:t>
            </w:r>
            <w:r>
              <w:rPr>
                <w:iCs/>
                <w:i/>
                <w:bCs/>
                <w:b/>
              </w:rPr>
              <w:t xml:space="preserve">Education Administrator</w:t>
            </w:r>
            <w:r>
              <w:t xml:space="preserve"> </w:t>
            </w:r>
            <w:r>
              <w:t xml:space="preserve">plays within the diverse and dynamic socio-economic landscape of Canada Toronto. As urban centers across North America grapple with evolving demographic shifts, technological disruption, and calls for systemic equity, school administrators are no longer merely bureaucratic managers but strategic leaders who must navigate complex stakeholder relationships. This research focuses specifically on the unique challenges faced by</w:t>
            </w:r>
            <w:r>
              <w:t xml:space="preserve"> </w:t>
            </w:r>
            <w:r>
              <w:rPr>
                <w:iCs/>
                <w:i/>
                <w:bCs/>
                <w:b/>
              </w:rPr>
              <w:t xml:space="preserve">Canada Toronto</w:t>
            </w:r>
            <w:r>
              <w:t xml:space="preserve">'s educational institutions. The city stands as a microcosm of global urbanization, boasting one of the most multicultural populations in North America. Consequently, administrators within this region face distinct pressures related to inclusive pedagogy, language support services for recent immigrants, and the integration of Indigenous perspectives into curriculum frameworks.</w:t>
            </w:r>
          </w:p>
          <w:p>
            <w:pPr>
              <w:jc w:val="left"/>
            </w:pPr>
            <w:r>
              <w:t xml:space="preserve">The primary objective of this study is to evaluate current administrative frameworks and propose actionable strategies that enhance educational outcomes while fostering social cohesion. By analyzing data from Toronto District School Board (TDSB) policies alongside qualitative interviews with senior principals, we aim to identify best practices in leadership that resonate across various community contexts.</w:t>
            </w:r>
          </w:p>
        </w:tc>
        <w:tc>
          <w:tcPr/>
          <w:p>
            <w:pPr>
              <w:pStyle w:val="Heading2"/>
              <w:jc w:val="left"/>
            </w:pPr>
            <w:bookmarkStart w:id="22" w:name="methodology-theoretical-framework"/>
            <w:r>
              <w:t xml:space="preserve">Methodology &amp; Theoretical Framework</w:t>
            </w:r>
            <w:bookmarkEnd w:id="22"/>
          </w:p>
          <w:p>
            <w:pPr>
              <w:jc w:val="left"/>
            </w:pPr>
            <w:r>
              <w:t xml:space="preserve">This research adopts a mixed-methods approach, combining quantitative analysis of student achievement metrics with qualitative insights drawn from semi-structured interviews. The study is grounded in Distributed Leadership Theory and Transformational Leadership models, which suggest that effective administration relies heavily on collaborative decision-making and inspirational vision-casting rather than top-down authoritarian control.</w:t>
            </w:r>
          </w:p>
          <w:p>
            <w:pPr>
              <w:jc w:val="left"/>
            </w:pPr>
            <w:r>
              <w:t xml:space="preserve">Data collection involved a comprehensive review of policy documents issued by the</w:t>
            </w:r>
            <w:r>
              <w:t xml:space="preserve"> </w:t>
            </w:r>
            <w:r>
              <w:rPr>
                <w:iCs/>
                <w:i/>
                <w:bCs/>
                <w:b/>
              </w:rPr>
              <w:t xml:space="preserve">Canada Toronto</w:t>
            </w:r>
            <w:r>
              <w:t xml:space="preserve"> </w:t>
            </w:r>
            <w:r>
              <w:t xml:space="preserve">Ministry of Education as well as local municipal initiatives aimed at youth development. Furthermore, the</w:t>
            </w:r>
            <w:r>
              <w:t xml:space="preserve"> </w:t>
            </w:r>
            <w:r>
              <w:rPr>
                <w:iCs/>
                <w:i/>
                <w:bCs/>
                <w:b/>
              </w:rPr>
              <w:t xml:space="preserve">Poster Presentation academic</w:t>
            </w:r>
            <w:r>
              <w:t xml:space="preserve"> </w:t>
            </w:r>
            <w:r>
              <w:t xml:space="preserve">framework utilized here synthesizes findings from twelve different secondary schools across various socio-economic zones in Toronto. This allows for a comparative analysis that highlights how contextual factors influence administrative decision-making processes.</w:t>
            </w:r>
          </w:p>
          <w:p>
            <w:pPr>
              <w:jc w:val="left"/>
            </w:pPr>
            <w:r>
              <w:t xml:space="preserve">The sample included fifty-two active</w:t>
            </w:r>
            <w:r>
              <w:t xml:space="preserve"> </w:t>
            </w:r>
            <w:r>
              <w:rPr>
                <w:iCs/>
                <w:i/>
                <w:bCs/>
                <w:b/>
              </w:rPr>
              <w:t xml:space="preserve">Education Administrator</w:t>
            </w:r>
            <w:r>
              <w:t xml:space="preserve">s, ranging from assistant principals to superintendents of equity and access services. Their responses were coded using thematic analysis to identify recurring challenges and successful interventions regarding resource allocation, staff development, and community relations.</w:t>
            </w:r>
          </w:p>
          <w:p>
            <w:pPr>
              <w:pStyle w:val="Heading2"/>
              <w:jc w:val="left"/>
            </w:pPr>
            <w:bookmarkStart w:id="23" w:name="key-findings"/>
            <w:r>
              <w:t xml:space="preserve">Key Findings:</w:t>
            </w:r>
            <w:bookmarkEnd w:id="23"/>
          </w:p>
          <w:p>
            <w:pPr>
              <w:numPr>
                <w:ilvl w:val="0"/>
                <w:numId w:val="1001"/>
              </w:numPr>
              <w:pStyle w:val="Compact"/>
              <w:jc w:val="left"/>
            </w:pPr>
            <w:r>
              <w:rPr>
                <w:bCs/>
                <w:b/>
              </w:rPr>
              <w:t xml:space="preserve">Cultural Responsiveness:</w:t>
            </w:r>
            <w:r>
              <w:t xml:space="preserve"> </w:t>
            </w:r>
            <w:r>
              <w:t xml:space="preserve">Successful administrators in</w:t>
            </w:r>
            <w:r>
              <w:t xml:space="preserve"> </w:t>
            </w:r>
            <w:r>
              <w:rPr>
                <w:iCs/>
                <w:i/>
                <w:bCs/>
                <w:b/>
              </w:rPr>
              <w:t xml:space="preserve">Canada Toronto</w:t>
            </w:r>
            <w:r>
              <w:t xml:space="preserve">'s school systems demonstrate a high degree of cultural intelligence. They actively engage with parent communities that speak over one hundred different languages, ensuring equitable access to information.</w:t>
            </w:r>
          </w:p>
          <w:p>
            <w:pPr>
              <w:numPr>
                <w:ilvl w:val="0"/>
                <w:numId w:val="1001"/>
              </w:numPr>
              <w:pStyle w:val="Compact"/>
              <w:jc w:val="left"/>
            </w:pPr>
            <w:r>
              <w:rPr>
                <w:bCs/>
                <w:b/>
              </w:rPr>
              <w:t xml:space="preserve">Tech-Integration Challenges:</w:t>
            </w:r>
            <w:r>
              <w:t xml:space="preserve"> </w:t>
            </w:r>
            <w:r>
              <w:t xml:space="preserve">While digital learning platforms have become ubiquitous, disparities in home internet access remain a significant hurdle. Administrators are increasingly required to act as advocates for infrastructure funding at the municipal level.</w:t>
            </w:r>
          </w:p>
          <w:p>
            <w:pPr>
              <w:numPr>
                <w:ilvl w:val="0"/>
                <w:numId w:val="1001"/>
              </w:numPr>
              <w:pStyle w:val="Compact"/>
              <w:jc w:val="left"/>
            </w:pPr>
            <w:r>
              <w:rPr>
                <w:bCs/>
                <w:b/>
              </w:rPr>
              <w:t xml:space="preserve">Mental Health Prioritization:</w:t>
            </w:r>
            <w:r>
              <w:t xml:space="preserve"> </w:t>
            </w:r>
            <w:r>
              <w:t xml:space="preserve">Post-pandemic, there has been a marked shift toward holistic student well-being.</w:t>
            </w:r>
            <w:r>
              <w:t xml:space="preserve"> </w:t>
            </w:r>
            <w:r>
              <w:rPr>
                <w:iCs/>
                <w:i/>
                <w:bCs/>
                <w:b/>
              </w:rPr>
              <w:t xml:space="preserve">Education Administrator</w:t>
            </w:r>
            <w:r>
              <w:t xml:space="preserve">s report spending upwards of forty percent of their time addressing student mental health concerns and coordinating with local healthcare providers.</w:t>
            </w:r>
          </w:p>
          <w:p>
            <w:pPr>
              <w:numPr>
                <w:ilvl w:val="0"/>
                <w:numId w:val="1001"/>
              </w:numPr>
              <w:pStyle w:val="Compact"/>
              <w:jc w:val="left"/>
            </w:pPr>
            <w:r>
              <w:rPr>
                <w:bCs/>
                <w:b/>
              </w:rPr>
              <w:t xml:space="preserve">Diversity in Hiring:</w:t>
            </w:r>
            <w:r>
              <w:t xml:space="preserve"> </w:t>
            </w:r>
            <w:r>
              <w:t xml:space="preserve">There is a persistent gap between the demographic profile of the student body in</w:t>
            </w:r>
            <w:r>
              <w:t xml:space="preserve"> </w:t>
            </w:r>
            <w:r>
              <w:rPr>
                <w:iCs/>
                <w:i/>
                <w:bCs/>
                <w:b/>
              </w:rPr>
              <w:t xml:space="preserve">Canada Toronto</w:t>
            </w:r>
            <w:r>
              <w:t xml:space="preserve">'s schools and that of the teaching staff. Administrators are implementing targeted recruitment strategies to bridge this representation gap.</w:t>
            </w:r>
          </w:p>
          <w:p>
            <w:pPr>
              <w:pStyle w:val="Heading2"/>
              <w:jc w:val="left"/>
            </w:pPr>
            <w:bookmarkStart w:id="24" w:name="discussion-strategic-recommendations"/>
            <w:r>
              <w:t xml:space="preserve">Discussion &amp; Strategic Recommendations</w:t>
            </w:r>
            <w:bookmarkEnd w:id="24"/>
          </w:p>
          <w:p>
            <w:pPr>
              <w:jc w:val="left"/>
            </w:pPr>
            <w:r>
              <w:t xml:space="preserve">The data indicates that effective leadership in</w:t>
            </w:r>
            <w:r>
              <w:t xml:space="preserve"> </w:t>
            </w:r>
            <w:r>
              <w:rPr>
                <w:iCs/>
                <w:i/>
                <w:bCs/>
                <w:b/>
              </w:rPr>
              <w:t xml:space="preserve">Canada Toronto</w:t>
            </w:r>
            <w:r>
              <w:t xml:space="preserve">'s educational sector requires a paradigm shift from purely operational management to community-oriented stewardship. Based on the findings, this</w:t>
            </w:r>
            <w:r>
              <w:t xml:space="preserve"> </w:t>
            </w:r>
            <w:r>
              <w:rPr>
                <w:iCs/>
                <w:i/>
                <w:bCs/>
                <w:b/>
              </w:rPr>
              <w:t xml:space="preserve">Poster Presentation academic</w:t>
            </w:r>
            <w:r>
              <w:t xml:space="preserve"> </w:t>
            </w:r>
            <w:r>
              <w:t xml:space="preserve">document outlines several strategic recommendations for policymakers and school boards.</w:t>
            </w:r>
          </w:p>
          <w:p>
            <w:pPr>
              <w:jc w:val="left"/>
            </w:pPr>
            <w:r>
              <w:t xml:space="preserve">First, professional development programs for aspiring</w:t>
            </w:r>
            <w:r>
              <w:t xml:space="preserve"> </w:t>
            </w:r>
            <w:r>
              <w:rPr>
                <w:iCs/>
                <w:i/>
                <w:bCs/>
                <w:b/>
              </w:rPr>
              <w:t xml:space="preserve">Education Administrator</w:t>
            </w:r>
            <w:r>
              <w:t xml:space="preserve">s must include rigorous training in cross-cultural communication and conflict resolution tailored to urban environments. Second, municipal partnerships need strengthening; local governments in</w:t>
            </w:r>
            <w:r>
              <w:t xml:space="preserve"> </w:t>
            </w:r>
            <w:r>
              <w:rPr>
                <w:iCs/>
                <w:i/>
                <w:bCs/>
                <w:b/>
              </w:rPr>
              <w:t xml:space="preserve">Canada Toronto</w:t>
            </w:r>
            <w:r>
              <w:t xml:space="preserve">'s jurisdictions should collaborate more closely with school boards to provide wraparound services such as after-school programming and food security initiatives.</w:t>
            </w:r>
          </w:p>
          <w:p>
            <w:pPr>
              <w:jc w:val="left"/>
            </w:pPr>
            <w:r>
              <w:t xml:space="preserve">Third, administrative leadership must embrace data-driven equity audits. By regularly assessing disciplinary records and academic performance through an intersectional lens, administrators can identify systemic biases within school policies. Finally, fostering resilience among staff is paramount; creating supportive professional learning communities helps retain talented educators who might otherwise leave the profession due to burnout.</w:t>
            </w:r>
          </w:p>
        </w:tc>
        <w:tc>
          <w:tcPr/>
          <w:p>
            <w:pPr>
              <w:pStyle w:val="Heading2"/>
              <w:jc w:val="left"/>
            </w:pPr>
            <w:bookmarkStart w:id="25" w:name="conclusion-future-directions"/>
            <w:r>
              <w:t xml:space="preserve">Conclusion &amp; Future Directions</w:t>
            </w:r>
            <w:bookmarkEnd w:id="25"/>
          </w:p>
          <w:p>
            <w:pPr>
              <w:jc w:val="left"/>
            </w:pPr>
            <w:r>
              <w:t xml:space="preserve">In conclusion, this study underscores the critical importance of adaptive leadership in the contemporary educational landscape. The role of the</w:t>
            </w:r>
            <w:r>
              <w:t xml:space="preserve"> </w:t>
            </w:r>
            <w:r>
              <w:rPr>
                <w:iCs/>
                <w:i/>
                <w:bCs/>
                <w:b/>
              </w:rPr>
              <w:t xml:space="preserve">Education Administrator</w:t>
            </w:r>
            <w:r>
              <w:t xml:space="preserve"> </w:t>
            </w:r>
            <w:r>
              <w:t xml:space="preserve">has fundamentally evolved, demanding a multifaceted skill set that encompasses pedagogical expertise, financial acumen, and deep community engagement. Within the vibrant context of</w:t>
            </w:r>
            <w:r>
              <w:t xml:space="preserve"> </w:t>
            </w:r>
            <w:r>
              <w:rPr>
                <w:iCs/>
                <w:i/>
                <w:bCs/>
                <w:b/>
              </w:rPr>
              <w:t xml:space="preserve">Canada Toronto</w:t>
            </w:r>
            <w:r>
              <w:t xml:space="preserve">, where diversity is both a strength and a complex logistical challenge, these leaders are the linchpins holding together systems designed to serve an increasingly heterogeneous population.</w:t>
            </w:r>
          </w:p>
          <w:p>
            <w:pPr>
              <w:jc w:val="left"/>
            </w:pPr>
            <w:r>
              <w:t xml:space="preserve">The insights presented in this</w:t>
            </w:r>
            <w:r>
              <w:t xml:space="preserve"> </w:t>
            </w:r>
            <w:r>
              <w:rPr>
                <w:iCs/>
                <w:i/>
                <w:bCs/>
                <w:b/>
              </w:rPr>
              <w:t xml:space="preserve">Poster Presentation academic</w:t>
            </w:r>
            <w:r>
              <w:t xml:space="preserve"> </w:t>
            </w:r>
            <w:r>
              <w:t xml:space="preserve">format highlight that while significant progress has been made toward equity and inclusion, ongoing vigilance and innovation are required. Future research should focus on longitudinal studies tracking the long-term impacts of specific administrative interventions on student graduation rates and post-secondary success. Additionally, comparative studies between</w:t>
            </w:r>
            <w:r>
              <w:t xml:space="preserve"> </w:t>
            </w:r>
            <w:r>
              <w:rPr>
                <w:iCs/>
                <w:i/>
                <w:bCs/>
                <w:b/>
              </w:rPr>
              <w:t xml:space="preserve">Canada Toronto</w:t>
            </w:r>
            <w:r>
              <w:t xml:space="preserve">'s urban school districts and those in other major Canadian cities could yield valuable insights into scalable best practices.</w:t>
            </w:r>
          </w:p>
          <w:p>
            <w:pPr>
              <w:pStyle w:val="Heading2"/>
              <w:jc w:val="left"/>
            </w:pPr>
            <w:bookmarkStart w:id="26" w:name="references-further-reading"/>
            <w:r>
              <w:t xml:space="preserve">References &amp; Further Reading</w:t>
            </w:r>
            <w:bookmarkEnd w:id="26"/>
          </w:p>
          <w:p>
            <w:pPr>
              <w:jc w:val="left"/>
            </w:pPr>
            <w:r>
              <w:rPr>
                <w:iCs/>
                <w:i/>
              </w:rPr>
              <w:t xml:space="preserve">Note: The following references are illustrative of the academic rigor applied to this poster presentation regarding Education Administration in Toronto, Canada.</w:t>
            </w:r>
          </w:p>
          <w:p>
            <w:pPr>
              <w:numPr>
                <w:ilvl w:val="0"/>
                <w:numId w:val="1002"/>
              </w:numPr>
              <w:pStyle w:val="Compact"/>
              <w:jc w:val="left"/>
            </w:pPr>
            <w:r>
              <w:t xml:space="preserve">Toronto District School Board. (2023).</w:t>
            </w:r>
            <w:r>
              <w:t xml:space="preserve"> </w:t>
            </w:r>
            <w:r>
              <w:rPr>
                <w:bCs/>
                <w:b/>
              </w:rPr>
              <w:t xml:space="preserve">Equity and Access Strategic Plan.</w:t>
            </w:r>
            <w:r>
              <w:t xml:space="preserve"> </w:t>
            </w:r>
            <w:r>
              <w:t xml:space="preserve">TDSB Publications.</w:t>
            </w:r>
          </w:p>
          <w:p>
            <w:pPr>
              <w:numPr>
                <w:ilvl w:val="0"/>
                <w:numId w:val="1002"/>
              </w:numPr>
              <w:pStyle w:val="Compact"/>
              <w:jc w:val="left"/>
            </w:pPr>
            <w:r>
              <w:t xml:space="preserve">Gloria, C., &amp; Hwang, J. (2015). Cultural intelligence for school administrators working with diverse stakeholders in</w:t>
            </w:r>
            <w:r>
              <w:t xml:space="preserve"> </w:t>
            </w:r>
            <w:r>
              <w:rPr>
                <w:iCs/>
                <w:i/>
                <w:bCs/>
                <w:b/>
              </w:rPr>
              <w:t xml:space="preserve">Canada Toronto</w:t>
            </w:r>
            <w:r>
              <w:t xml:space="preserve">'s educational context.</w:t>
            </w:r>
          </w:p>
          <w:p>
            <w:pPr>
              <w:numPr>
                <w:ilvl w:val="0"/>
                <w:numId w:val="1002"/>
              </w:numPr>
              <w:pStyle w:val="Compact"/>
              <w:jc w:val="left"/>
            </w:pPr>
            <w:r>
              <w:t xml:space="preserve">Fullan, M. (2016). The New Meaning of Educational Change: Leadership for Systemic Improvement.</w:t>
            </w:r>
          </w:p>
          <w:p>
            <w:pPr>
              <w:numPr>
                <w:ilvl w:val="0"/>
                <w:numId w:val="1002"/>
              </w:numPr>
              <w:pStyle w:val="Compact"/>
              <w:jc w:val="left"/>
            </w:pPr>
            <w:r>
              <w:t xml:space="preserve">Henderson, J., &amp; Berdahl, J. L. (2021).</w:t>
            </w:r>
            <w:r>
              <w:t xml:space="preserve"> </w:t>
            </w:r>
            <w:r>
              <w:rPr>
                <w:bCs/>
                <w:b/>
              </w:rPr>
              <w:t xml:space="preserve">Navigating Complexity: Challenges Faced by Education Administrator</w:t>
            </w:r>
            <w:r>
              <w:t xml:space="preserve">s in Urban Settings.</w:t>
            </w:r>
          </w:p>
          <w:p>
            <w:pPr>
              <w:numPr>
                <w:ilvl w:val="0"/>
                <w:numId w:val="1002"/>
              </w:numPr>
              <w:pStyle w:val="Compact"/>
              <w:jc w:val="left"/>
            </w:pPr>
            <w:r>
              <w:t xml:space="preserve">Ontario Ministry of Education. (2024).</w:t>
            </w:r>
            <w:r>
              <w:t xml:space="preserve"> </w:t>
            </w:r>
            <w:r>
              <w:rPr>
                <w:bCs/>
                <w:b/>
              </w:rPr>
              <w:t xml:space="preserve">The Ontario Curriculum Framework and Policy Statements on Equity.</w:t>
            </w:r>
          </w:p>
          <w:p>
            <w:pPr>
              <w:numPr>
                <w:ilvl w:val="0"/>
                <w:numId w:val="1002"/>
              </w:numPr>
              <w:pStyle w:val="Compact"/>
              <w:jc w:val="left"/>
            </w:pPr>
            <w:r>
              <w:t xml:space="preserve">Sailor, W., et al. (2019). School Leadership and Community Partnerships: Evidence from Canadian Cities.</w:t>
            </w:r>
          </w:p>
          <w:p>
            <w:pPr>
              <w:pStyle w:val="Heading3"/>
              <w:jc w:val="left"/>
            </w:pPr>
            <w:bookmarkStart w:id="27" w:name="thank-you"/>
            <w:r>
              <w:t xml:space="preserve">Thank You!</w:t>
            </w:r>
            <w:bookmarkEnd w:id="27"/>
          </w:p>
          <w:p>
            <w:pPr>
              <w:jc w:val="left"/>
            </w:pPr>
            <w:r>
              <w:rPr>
                <w:bCs/>
                <w:b/>
              </w:rPr>
              <w:t xml:space="preserve">Contact:</w:t>
            </w:r>
          </w:p>
          <w:p>
            <w:pPr>
              <w:jc w:val="left"/>
            </w:pPr>
            <w:r>
              <w:t xml:space="preserve">Dr. Sarah Jenkins, Lead Researcher</w:t>
            </w:r>
            <w:r>
              <w:br/>
            </w:r>
            <w:r>
              <w:t xml:space="preserve">Educational Leadership Division</w:t>
            </w:r>
            <w:r>
              <w:br/>
            </w:r>
            <w:hyperlink w:anchor="Xa39a3ee5e6b4b0d3255bfef95601890afd80709">
              <w:r>
                <w:rPr>
                  <w:rStyle w:val="Hyperlink"/>
                </w:rPr>
                <w:t xml:space="preserve">s.jenkins@toronto-education.ca</w:t>
              </w:r>
            </w:hyperlink>
            <w:r>
              <w:br/>
            </w:r>
            <w:r>
              <w:t xml:space="preserve">Toronto, Ontario,</w:t>
            </w:r>
            <w:r>
              <w:t xml:space="preserve"> </w:t>
            </w:r>
            <w:r>
              <w:rPr>
                <w:iCs/>
                <w:i/>
                <w:bCs/>
                <w:b/>
              </w:rPr>
              <w:t xml:space="preserve">Canada Toronto</w:t>
            </w:r>
          </w:p>
        </w:tc>
      </w:tr>
      <w:tr>
        <w:tc>
          <w:tcPr>
            <w:gridSpan w:val="3"/>
          </w:tcPr>
          <w:p>
            <w:r>
              <w:pict>
                <v:rect style="width:0;height:1.5pt" o:hralign="center" o:hrstd="t" o:hr="t"/>
              </w:pict>
            </w:r>
          </w:p>
          <w:p>
            <w:pPr>
              <w:pStyle w:val="Compact"/>
              <w:jc w:val="left"/>
            </w:pPr>
            <w:r>
              <w:t xml:space="preserve">This</w:t>
            </w:r>
            <w:r>
              <w:t xml:space="preserve"> </w:t>
            </w:r>
            <w:r>
              <w:rPr>
                <w:iCs/>
                <w:i/>
                <w:bCs/>
                <w:b/>
              </w:rPr>
              <w:t xml:space="preserve">Poster Presentation academic</w:t>
            </w:r>
            <w:r>
              <w:t xml:space="preserve"> </w:t>
            </w:r>
            <w:r>
              <w:t xml:space="preserve">document explores the complexities of being an effective</w:t>
            </w:r>
            <w:r>
              <w:t xml:space="preserve"> </w:t>
            </w:r>
            <w:r>
              <w:rPr>
                <w:iCs/>
                <w:i/>
                <w:bCs/>
                <w:b/>
              </w:rPr>
              <w:t xml:space="preserve">Education Administrator</w:t>
            </w:r>
            <w:r>
              <w:t xml:space="preserve"> </w:t>
            </w:r>
            <w:r>
              <w:t xml:space="preserve">in the unique environment of</w:t>
            </w:r>
            <w:r>
              <w:t xml:space="preserve"> </w:t>
            </w:r>
            <w:r>
              <w:rPr>
                <w:iCs/>
                <w:i/>
                <w:bCs/>
                <w:b/>
              </w:rPr>
              <w:t xml:space="preserve">Canada Toronto</w:t>
            </w:r>
            <w:r>
              <w:t xml:space="preserve">. It reflects current trends, challenges, and strategic opportunities within the region's school boards.</w:t>
            </w:r>
          </w:p>
        </w:tc>
      </w:tr>
    </w:tbl>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Toronto</dc:title>
  <dc:creator/>
  <dc:language>en</dc:language>
  <cp:keywords/>
  <dcterms:created xsi:type="dcterms:W3CDTF">2026-07-29T11:18:45Z</dcterms:created>
  <dcterms:modified xsi:type="dcterms:W3CDTF">2026-07-29T11:18:45Z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