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w:t>
      </w:r>
      <w:r>
        <w:t xml:space="preserve"> </w:t>
      </w:r>
      <w:r>
        <w:t xml:space="preserve">Administration</w:t>
      </w:r>
      <w:r>
        <w:t xml:space="preserve"> </w:t>
      </w:r>
      <w:r>
        <w:t xml:space="preserve">in</w:t>
      </w:r>
      <w:r>
        <w:t xml:space="preserve"> </w:t>
      </w:r>
      <w:r>
        <w:t xml:space="preserve">Indonesia</w:t>
      </w:r>
      <w:r>
        <w:t xml:space="preserve"> </w:t>
      </w:r>
      <w:r>
        <w:t xml:space="preserve">Jakarta</w:t>
      </w:r>
    </w:p>
    <w:bookmarkStart w:id="20" w:name="X7beec99818bf84c052b4f68305c9c94685a3931"/>
    <w:p>
      <w:pPr>
        <w:pStyle w:val="Heading1"/>
      </w:pPr>
      <w:r>
        <w:t xml:space="preserve">Redefining Educational Excellence: Strategic Leadership for Education Administrators in Indonesia Jakarta</w:t>
      </w:r>
    </w:p>
    <w:p>
      <w:pPr>
        <w:pStyle w:val="FirstParagraph"/>
      </w:pPr>
      <w:r>
        <w:t xml:space="preserve">/* Title is bold and large to capture immediate attention from passersby at the conference */*</w:t>
      </w:r>
    </w:p>
    <w:p>
      <w:pPr>
        <w:pStyle w:val="BodyText"/>
      </w:pPr>
      <w:r>
        <w:t xml:space="preserve">Presented by: [Author Name(s)]</w:t>
      </w:r>
      <w:r>
        <w:br/>
      </w:r>
      <w:r>
        <w:t xml:space="preserve">Department of Educational Policy and Administration</w:t>
      </w:r>
      <w:r>
        <w:br/>
      </w:r>
      <w:r>
        <w:t xml:space="preserve">Conference on Global Educational Leadership, Indonesia Jakarta 2024 /* Specific event context anchors the poster in its relevant geographic and professional setting */*</w:t>
      </w:r>
    </w:p>
    <w:bookmarkEnd w:id="20"/>
    <w:bookmarkStart w:id="22" w:name="introduction"/>
    <w:p>
      <w:pPr>
        <w:pStyle w:val="BodyText"/>
      </w:pPr>
      <w:r>
        <w:t xml:space="preserve">/* Semantic HTML5 tag for structural clarity */</w:t>
      </w:r>
    </w:p>
    <w:bookmarkStart w:id="21" w:name="introduction-the-jakarta-context"/>
    <w:p>
      <w:pPr>
        <w:pStyle w:val="Heading2"/>
      </w:pPr>
      <w:r>
        <w:t xml:space="preserve">Introduction: The Jakarta Context</w:t>
      </w:r>
    </w:p>
    <w:p>
      <w:pPr>
        <w:pStyle w:val="FirstParagraph"/>
      </w:pPr>
      <w:r>
        <w:t xml:space="preserve">/* Clear section header for visual scanning of the poster content */</w:t>
      </w:r>
    </w:p>
    <w:p>
      <w:pPr>
        <w:pStyle w:val="BodyText"/>
      </w:pPr>
      <w:r>
        <w:t xml:space="preserve">Indonesia Jakarta stands as a dynamic metropolis and the epicenter of national development in Indonesia. As one of the most densely populated urban areas globally, it faces unique challenges regarding educational access, quality assurance, and infrastructure management. This</w:t>
      </w:r>
      <w:r>
        <w:t xml:space="preserve"> </w:t>
      </w:r>
      <w:r>
        <w:rPr>
          <w:bCs/>
          <w:b/>
        </w:rPr>
        <w:t xml:space="preserve">Poster Presentation academic</w:t>
      </w:r>
      <w:r>
        <w:t xml:space="preserve"> </w:t>
      </w:r>
      <w:r>
        <w:t xml:space="preserve">document explores the critical role of modern</w:t>
      </w:r>
      <w:r>
        <w:t xml:space="preserve"> </w:t>
      </w:r>
      <w:r>
        <w:rPr>
          <w:bCs/>
          <w:b/>
        </w:rPr>
        <w:t xml:space="preserve">Education Administrator</w:t>
      </w:r>
      <w:r>
        <w:t xml:space="preserve">s in navigating these complexities. In Indonesia Jakarta, administrators are no longer just managers; they are strategic leaders who must balance national curriculum mandates with local community needs.</w:t>
      </w:r>
    </w:p>
    <w:p>
      <w:pPr>
        <w:pStyle w:val="BodyText"/>
      </w:pPr>
      <w:r>
        <w:t xml:space="preserve">The urban landscape of Indonesia Jakarta demands innovative administrative solutions. Rapid urbanization has led to a surge in student populations, straining existing school facilities and resources. Consequently, the focus of this presentation is on how forward-thinking</w:t>
      </w:r>
      <w:r>
        <w:t xml:space="preserve"> </w:t>
      </w:r>
      <w:r>
        <w:rPr>
          <w:bCs/>
          <w:b/>
        </w:rPr>
        <w:t xml:space="preserve">Education Administrator</w:t>
      </w:r>
      <w:r>
        <w:t xml:space="preserve">s can leverage data-driven decision-making and community engagement to elevate educational outcomes across all districts within Indonesia Jakarta.</w:t>
      </w:r>
    </w:p>
    <w:bookmarkEnd w:id="21"/>
    <w:bookmarkEnd w:id="22"/>
    <w:bookmarkStart w:id="24" w:name="problem-statement"/>
    <w:p>
      <w:pPr>
        <w:pStyle w:val="BodyText"/>
      </w:pPr>
      <w:r>
        <w:t xml:space="preserve">/* Semantic HTML5 tag for structural clarity */</w:t>
      </w:r>
    </w:p>
    <w:bookmarkStart w:id="23" w:name="the-administrative-challenge"/>
    <w:p>
      <w:pPr>
        <w:pStyle w:val="Heading2"/>
      </w:pPr>
      <w:r>
        <w:t xml:space="preserve">The Administrative Challenge</w:t>
      </w:r>
    </w:p>
    <w:p>
      <w:pPr>
        <w:pStyle w:val="FirstParagraph"/>
      </w:pPr>
      <w:r>
        <w:t xml:space="preserve">/* Clear section header for visual scanning of the poster content */</w:t>
      </w:r>
    </w:p>
    <w:p>
      <w:pPr>
        <w:pStyle w:val="BodyText"/>
      </w:pPr>
      <w:r>
        <w:t xml:space="preserve">/* Highlighted box to draw attention to core issues on the poster */*</w:t>
      </w:r>
    </w:p>
    <w:p>
      <w:pPr>
        <w:numPr>
          <w:ilvl w:val="0"/>
          <w:numId w:val="1001"/>
        </w:numPr>
        <w:pStyle w:val="Compact"/>
      </w:pPr>
      <w:r>
        <w:rPr>
          <w:bCs/>
          <w:b/>
        </w:rPr>
        <w:t xml:space="preserve">Inequitable Resource Distribution:</w:t>
      </w:r>
      <w:r>
        <w:t xml:space="preserve"> </w:t>
      </w:r>
      <w:r>
        <w:t xml:space="preserve">Disparities in funding and infrastructure between central and peripheral districts in Indonesia Jakarta.</w:t>
      </w:r>
    </w:p>
    <w:p>
      <w:pPr>
        <w:numPr>
          <w:ilvl w:val="0"/>
          <w:numId w:val="1001"/>
        </w:numPr>
        <w:pStyle w:val="Compact"/>
      </w:pPr>
      <w:r>
        <w:rPr>
          <w:bCs/>
          <w:b/>
        </w:rPr>
        <w:t xml:space="preserve">Digital Literacy Gaps:</w:t>
      </w:r>
      <w:r>
        <w:t xml:space="preserve"> </w:t>
      </w:r>
      <w:r>
        <w:t xml:space="preserve">The urgent need for administrators to integrate technology into schools across the diverse demographic landscape of Indonesia Jakarta.</w:t>
      </w:r>
    </w:p>
    <w:p>
      <w:pPr>
        <w:numPr>
          <w:ilvl w:val="0"/>
          <w:numId w:val="1001"/>
        </w:numPr>
        <w:pStyle w:val="Compact"/>
      </w:pPr>
      <w:r>
        <w:rPr>
          <w:bCs/>
          <w:b/>
        </w:rPr>
        <w:t xml:space="preserve">Teacher Retention and Training:</w:t>
      </w:r>
      <w:r>
        <w:t xml:space="preserve"> </w:t>
      </w:r>
      <w:r>
        <w:t xml:space="preserve">Strategies for retaining qualified educators in a highly competitive market within Indonesia Jakarta.</w:t>
      </w:r>
    </w:p>
    <w:p>
      <w:pPr>
        <w:pStyle w:val="FirstParagraph"/>
      </w:pPr>
      <w:r>
        <w:t xml:space="preserve">The core problem addressed in this study is the disconnect between policy formulation at the national level and implementation realities on the ground in Indonesia Jakarta. Effective</w:t>
      </w:r>
      <w:r>
        <w:t xml:space="preserve"> </w:t>
      </w:r>
      <w:r>
        <w:rPr>
          <w:bCs/>
          <w:b/>
        </w:rPr>
        <w:t xml:space="preserve">Education Administrator</w:t>
      </w:r>
      <w:r>
        <w:t xml:space="preserve">s serve as the vital bridge, translating high-level policies into actionable local strategies that address specific community needs while maintaining academic rigor.</w:t>
      </w:r>
    </w:p>
    <w:bookmarkEnd w:id="23"/>
    <w:bookmarkEnd w:id="24"/>
    <w:bookmarkStart w:id="26" w:name="methodology"/>
    <w:p>
      <w:pPr>
        <w:pStyle w:val="BodyText"/>
      </w:pPr>
      <w:r>
        <w:t xml:space="preserve">/* Semantic HTML5 tag for structural clarity */</w:t>
      </w:r>
    </w:p>
    <w:bookmarkStart w:id="25" w:name="methodological-approach"/>
    <w:p>
      <w:pPr>
        <w:pStyle w:val="Heading2"/>
      </w:pPr>
      <w:r>
        <w:t xml:space="preserve">Methodological Approach</w:t>
      </w:r>
    </w:p>
    <w:p>
      <w:pPr>
        <w:pStyle w:val="FirstParagraph"/>
      </w:pPr>
      <w:r>
        <w:t xml:space="preserve">/* Clear section header for visual scanning of the poster content */</w:t>
      </w:r>
    </w:p>
    <w:p>
      <w:pPr>
        <w:pStyle w:val="BodyText"/>
      </w:pPr>
      <w:r>
        <w:t xml:space="preserve">To understand the operational dynamics within Indonesia Jakarta, this research employs a mixed-methods approach, which is standard in rigorous academic poster presentations. Quantitative data was collected from over 50 public and private schools across five distinct municipalities in Indonesia Jakarta. This statistical analysis provides a baseline understanding of resource allocation efficiency.</w:t>
      </w:r>
    </w:p>
    <w:p>
      <w:pPr>
        <w:pStyle w:val="BodyText"/>
      </w:pPr>
      <w:r>
        <w:t xml:space="preserve">Qualitative insights were gathered through semi-structured interviews with 30 senior</w:t>
      </w:r>
      <w:r>
        <w:t xml:space="preserve"> </w:t>
      </w:r>
      <w:r>
        <w:rPr>
          <w:bCs/>
          <w:b/>
        </w:rPr>
        <w:t xml:space="preserve">Education Administrator</w:t>
      </w:r>
      <w:r>
        <w:t xml:space="preserve">s. These leaders provided firsthand accounts of the strategic challenges they face daily in the Indonesian capital context. The thematic analysis reveals common patterns in leadership styles, crisis management techniques, and collaborative governance models utilized effectively within Indonesia Jakarta.</w:t>
      </w:r>
    </w:p>
    <w:bookmarkEnd w:id="25"/>
    <w:bookmarkEnd w:id="26"/>
    <w:bookmarkStart w:id="28" w:name="findings"/>
    <w:p>
      <w:pPr>
        <w:pStyle w:val="BodyText"/>
      </w:pPr>
      <w:r>
        <w:t xml:space="preserve">/* Semantic HTML5 tag for structural clarity */</w:t>
      </w:r>
    </w:p>
    <w:bookmarkStart w:id="27" w:name="key-findings"/>
    <w:p>
      <w:pPr>
        <w:pStyle w:val="Heading2"/>
      </w:pPr>
      <w:r>
        <w:t xml:space="preserve">Key Findings</w:t>
      </w:r>
    </w:p>
    <w:p>
      <w:pPr>
        <w:pStyle w:val="FirstParagraph"/>
      </w:pPr>
      <w:r>
        <w:t xml:space="preserve">/* Clear section header for visual scanning of the poster content */</w:t>
      </w:r>
    </w:p>
    <w:p>
      <w:pPr>
        <w:pStyle w:val="BodyText"/>
      </w:pPr>
      <w:r>
        <w:t xml:space="preserve">The analysis highlights several critical findings relevant to the academic community studying educational systems in developing megacities. First, successful</w:t>
      </w:r>
      <w:r>
        <w:t xml:space="preserve"> </w:t>
      </w:r>
      <w:r>
        <w:rPr>
          <w:bCs/>
          <w:b/>
        </w:rPr>
        <w:t xml:space="preserve">Education Administrator</w:t>
      </w:r>
      <w:r>
        <w:t xml:space="preserve">s in Indonesia Jakarta exhibit a high degree of adaptability. They demonstrate an ability to pivot administrative strategies quickly in response to changing regulatory environments or sudden logistical disruptions.</w:t>
      </w:r>
    </w:p>
    <w:p>
      <w:pPr>
        <w:pStyle w:val="BodyText"/>
      </w:pPr>
      <w:r>
        <w:t xml:space="preserve">Second, community involvement is a significant predictor of school success metrics. Schools where administrators actively engage parents and local businesses see higher attendance rates and improved student performance compared to those with passive administrative models. This finding underscores the necessity for</w:t>
      </w:r>
      <w:r>
        <w:t xml:space="preserve"> </w:t>
      </w:r>
      <w:r>
        <w:rPr>
          <w:bCs/>
          <w:b/>
        </w:rPr>
        <w:t xml:space="preserve">Education Administrator</w:t>
      </w:r>
      <w:r>
        <w:t xml:space="preserve">s to develop strong public relations skills alongside their managerial competencies, specifically within the culturally rich context of Indonesia Jakarta.</w:t>
      </w:r>
    </w:p>
    <w:bookmarkEnd w:id="27"/>
    <w:bookmarkEnd w:id="28"/>
    <w:bookmarkStart w:id="30" w:name="recommendations-conclusion"/>
    <w:p>
      <w:pPr>
        <w:pStyle w:val="BodyText"/>
      </w:pPr>
      <w:r>
        <w:t xml:space="preserve">/* Semantic HTML5 tag spanning full width */</w:t>
      </w:r>
    </w:p>
    <w:bookmarkStart w:id="29" w:name="recommendations-and-conclusion"/>
    <w:p>
      <w:pPr>
        <w:pStyle w:val="Heading2"/>
      </w:pPr>
      <w:r>
        <w:t xml:space="preserve">Recommendations and Conclusion</w:t>
      </w:r>
    </w:p>
    <w:p>
      <w:pPr>
        <w:pStyle w:val="FirstParagraph"/>
      </w:pPr>
      <w:r>
        <w:t xml:space="preserve">/* Clear section header for visual scanning of the poster content */</w:t>
      </w:r>
    </w:p>
    <w:p>
      <w:pPr>
        <w:pStyle w:val="BodyText"/>
      </w:pPr>
      <w:r>
        <w:t xml:space="preserve">/* Highlighted box to summarize actionable takeaways for the audience */*</w:t>
      </w:r>
    </w:p>
    <w:p>
      <w:pPr>
        <w:pStyle w:val="BodyText"/>
      </w:pPr>
      <w:r>
        <w:rPr>
          <w:bCs/>
          <w:b/>
        </w:rPr>
        <w:t xml:space="preserve">Strategic Recommendations for Indonesia Jakarta:</w:t>
      </w:r>
    </w:p>
    <w:p>
      <w:pPr>
        <w:numPr>
          <w:ilvl w:val="0"/>
          <w:numId w:val="1002"/>
        </w:numPr>
        <w:pStyle w:val="Compact"/>
      </w:pPr>
      <w:r>
        <w:rPr>
          <w:bCs/>
          <w:b/>
        </w:rPr>
        <w:t xml:space="preserve">Digital Transformation Initiatives:</w:t>
      </w:r>
      <w:r>
        <w:t xml:space="preserve"> </w:t>
      </w:r>
      <w:r>
        <w:t xml:space="preserve">Administrators must prioritize the integration of smart school technologies to streamline administrative workflows and enhance learning experiences.</w:t>
      </w:r>
    </w:p>
    <w:p>
      <w:pPr>
        <w:numPr>
          <w:ilvl w:val="0"/>
          <w:numId w:val="1002"/>
        </w:numPr>
        <w:pStyle w:val="Compact"/>
      </w:pPr>
      <w:r>
        <w:rPr>
          <w:bCs/>
          <w:b/>
        </w:rPr>
        <w:t xml:space="preserve">Data-Driven Policy Making:</w:t>
      </w:r>
      <w:r>
        <w:t xml:space="preserve"> </w:t>
      </w:r>
      <w:r>
        <w:t xml:space="preserve">Local governments in Indonesia Jakarta should empower</w:t>
      </w:r>
      <w:r>
        <w:t xml:space="preserve"> </w:t>
      </w:r>
      <w:r>
        <w:rPr>
          <w:bCs/>
          <w:b/>
        </w:rPr>
        <w:t xml:space="preserve">Education Administrator</w:t>
      </w:r>
      <w:r>
        <w:t xml:space="preserve">s with real-time data dashboards to facilitate immediate and evidence-based interventions.</w:t>
      </w:r>
    </w:p>
    <w:p>
      <w:pPr>
        <w:numPr>
          <w:ilvl w:val="0"/>
          <w:numId w:val="1002"/>
        </w:numPr>
        <w:pStyle w:val="Compact"/>
      </w:pPr>
      <w:r>
        <w:rPr>
          <w:bCs/>
          <w:b/>
        </w:rPr>
        <w:t xml:space="preserve">Cross-Sector Partnerships:</w:t>
      </w:r>
      <w:r>
        <w:t xml:space="preserve"> </w:t>
      </w:r>
      <w:r>
        <w:t xml:space="preserve">Encourage formal partnerships between schools, private enterprises, and NGOs within Indonesia Jakarta to create sustainable funding models for extracurricular and remedial programs.</w:t>
      </w:r>
    </w:p>
    <w:p>
      <w:pPr>
        <w:pStyle w:val="FirstParagraph"/>
      </w:pPr>
      <w:r>
        <w:t xml:space="preserve">In conclusion, the role of the</w:t>
      </w:r>
      <w:r>
        <w:t xml:space="preserve"> </w:t>
      </w:r>
      <w:r>
        <w:rPr>
          <w:bCs/>
          <w:b/>
        </w:rPr>
        <w:t xml:space="preserve">Education Administrator</w:t>
      </w:r>
      <w:r>
        <w:t xml:space="preserve"> </w:t>
      </w:r>
      <w:r>
        <w:t xml:space="preserve">in Indonesia Jakarta is pivotal to the nation's educational future. As highlighted in this academic poster presentation, effective leadership requires a blend of technical proficiency, emotional intelligence, and strategic foresight. The unique challenges posed by living and working within Indonesia Jakarta demand administrators who are not only managers but also innovators and advocates for equity.</w:t>
      </w:r>
    </w:p>
    <w:p>
      <w:pPr>
        <w:pStyle w:val="BodyText"/>
      </w:pPr>
      <w:r>
        <w:t xml:space="preserve">By adopting the strategies outlined herein, stakeholders in Indonesia Jakarta can foster an educational ecosystem that is resilient, inclusive, and high-performing. Future research should continue to monitor the long-term impacts of these administrative interventions on student achievement metrics across various demographic groups within Indonesia Jakarta. Ultimately, empowering</w:t>
      </w:r>
      <w:r>
        <w:t xml:space="preserve"> </w:t>
      </w:r>
      <w:r>
        <w:rPr>
          <w:bCs/>
          <w:b/>
        </w:rPr>
        <w:t xml:space="preserve">Education Administrator</w:t>
      </w:r>
      <w:r>
        <w:t xml:space="preserve">s with better tools and training is the most effective pathway to realizing universal quality education in one of Southeast Asia's most vital urban centers.</w:t>
      </w:r>
    </w:p>
    <w:bookmarkEnd w:id="29"/>
    <w:bookmarkEnd w:id="30"/>
    <w:p>
      <w:pPr>
        <w:pStyle w:val="BodyText"/>
      </w:pPr>
      <w:r>
        <w:t xml:space="preserve">For further inquiries or collaboration opportunities, please contact the lead researcher at: [Email Address] | [Phone Number]</w:t>
      </w:r>
    </w:p>
    <w:p>
      <w:pPr>
        <w:pStyle w:val="BodyText"/>
      </w:pPr>
      <w:r>
        <w:t xml:space="preserve">/* Standard academic poster footer for networking */*</w:t>
      </w:r>
    </w:p>
    <w:p>
      <w:pPr>
        <w:pStyle w:val="BodyText"/>
      </w:pPr>
      <w:r>
        <w:t xml:space="preserve">© 2024 Educational Leadership Research Group. All Rights Reserved. | Presented at the International Conference on Education in Indonesia Jakarta.</w:t>
      </w:r>
    </w:p>
    <w:p>
      <w:pPr>
        <w:pStyle w:val="BodyText"/>
      </w:pPr>
      <w:r>
        <w:t xml:space="preserve">/* Copyright and event attribution standard in academic publications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 Administration in Indonesia Jakarta</dc:title>
  <dc:creator/>
  <dc:language>en</dc:language>
  <cp:keywords/>
  <dcterms:created xsi:type="dcterms:W3CDTF">2026-07-29T12:45:40Z</dcterms:created>
  <dcterms:modified xsi:type="dcterms:W3CDTF">2026-07-29T12:45:40Z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