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1" w:name="X37dd8d90ca5974ed75e2a76da295fe657bed438"/>
    <w:p>
      <w:pPr>
        <w:pStyle w:val="Heading1"/>
      </w:pPr>
      <w:r>
        <w:t xml:space="preserve">Evolving Educational Administration in Tehran, Iran</w:t>
      </w:r>
    </w:p>
    <w:bookmarkStart w:id="20" w:name="Xf6a9c84406c0e8711cc23bdf24c5c50be53354e"/>
    <w:p>
      <w:pPr>
        <w:pStyle w:val="Heading2"/>
      </w:pPr>
      <w:r>
        <w:t xml:space="preserve">Bridging Traditional Values with Modern Administrative Strategies for Sustainable Academic Excellence</w:t>
      </w:r>
    </w:p>
    <w:bookmarkEnd w:id="20"/>
    <w:bookmarkEnd w:id="21"/>
    <w:p>
      <w:pPr>
        <w:pStyle w:val="FirstParagraph"/>
      </w:pPr>
      <w:r>
        <w:rPr>
          <w:bCs/>
          <w:b/>
        </w:rPr>
        <w:t xml:space="preserve">Presentation Topic:</w:t>
      </w:r>
      <w:r>
        <w:t xml:space="preserve"> </w:t>
      </w:r>
      <w:r>
        <w:t xml:space="preserve">The Role of the Education Administrator in Post-Modern Tehran</w:t>
      </w:r>
      <w:r>
        <w:br/>
      </w:r>
      <w:r>
        <w:rPr>
          <w:iCs/>
          <w:i/>
        </w:rPr>
        <w:t xml:space="preserve">Focusing on Policy Implementation, Technological Integration, and Cultural Stewardship in Iranian Schools</w:t>
      </w:r>
      <w:r>
        <w:br/>
      </w:r>
      <w:r>
        <w:t xml:space="preserve">Date: October 2023 | Location: Tehran Educational Summit</w:t>
      </w:r>
      <w:r>
        <w:br/>
      </w:r>
    </w:p>
    <w:bookmarkStart w:id="22" w:name="introduction-background"/>
    <w:p>
      <w:pPr>
        <w:pStyle w:val="Heading3"/>
      </w:pPr>
      <w:r>
        <w:t xml:space="preserve">1. Introduction &amp; Background</w:t>
      </w:r>
    </w:p>
    <w:p>
      <w:pPr>
        <w:pStyle w:val="FirstParagraph"/>
      </w:pPr>
      <w:r>
        <w:t xml:space="preserve">The landscape of education in Tehran, the capital city of Iran, represents a unique convergence of rapid urbanization, deep-rooted cultural traditions, and ambitious governmental reform goals. As the administrative hub of the nation's educational sector, Tehran serves as a critical testing ground for policy implementation across the country.</w:t>
      </w:r>
    </w:p>
    <w:p>
      <w:pPr>
        <w:pStyle w:val="BodyText"/>
      </w:pPr>
      <w:r>
        <w:t xml:space="preserve">In this context, the</w:t>
      </w:r>
      <w:r>
        <w:t xml:space="preserve"> </w:t>
      </w:r>
      <w:r>
        <w:rPr>
          <w:bCs/>
          <w:b/>
        </w:rPr>
        <w:t xml:space="preserve">Education Administrator</w:t>
      </w:r>
      <w:r>
        <w:t xml:space="preserve"> </w:t>
      </w:r>
      <w:r>
        <w:t xml:space="preserve">is no longer merely an overseer of logistics but acts as a strategic leader who must navigate complex socio-political dynamics. This poster presentation explores how modern administrative frameworks can be adapted to fit the specific needs of Iranian schools in Tehran, balancing state mandates with local community expectations.</w:t>
      </w:r>
    </w:p>
    <w:bookmarkEnd w:id="22"/>
    <w:bookmarkStart w:id="23" w:name="the-unique-context-of-iran-tehran"/>
    <w:p>
      <w:pPr>
        <w:pStyle w:val="Heading3"/>
      </w:pPr>
      <w:r>
        <w:t xml:space="preserve">2. The Unique Context of Iran &amp; Tehran</w:t>
      </w:r>
    </w:p>
    <w:p>
      <w:pPr>
        <w:pStyle w:val="FirstParagraph"/>
      </w:pPr>
      <w:r>
        <w:t xml:space="preserve">Tehran is home to over 15 million people, creating a dense and diverse educational ecosystem. The challenges here are multifaceted:</w:t>
      </w:r>
    </w:p>
    <w:p>
      <w:pPr>
        <w:numPr>
          <w:ilvl w:val="0"/>
          <w:numId w:val="1001"/>
        </w:numPr>
        <w:pStyle w:val="Compact"/>
      </w:pPr>
      <w:r>
        <w:rPr>
          <w:bCs/>
          <w:b/>
        </w:rPr>
        <w:t xml:space="preserve">Demographic Pressure:</w:t>
      </w:r>
      <w:r>
        <w:t xml:space="preserve"> </w:t>
      </w:r>
      <w:r>
        <w:t xml:space="preserve">High student-to-teacher ratios in public institutions require efficient resource management.</w:t>
      </w:r>
    </w:p>
    <w:p>
      <w:pPr>
        <w:numPr>
          <w:ilvl w:val="0"/>
          <w:numId w:val="1001"/>
        </w:numPr>
        <w:pStyle w:val="Compact"/>
      </w:pPr>
      <w:r>
        <w:rPr>
          <w:bCs/>
          <w:b/>
        </w:rPr>
        <w:t xml:space="preserve">Digital Divide:</w:t>
      </w:r>
      <w:r>
        <w:t xml:space="preserve"> </w:t>
      </w:r>
      <w:r>
        <w:t xml:space="preserve">While Tehran has high internet penetration, equitable access to digital learning tools remains a challenge for lower-income districts such as northern versus southern Tehran.</w:t>
      </w:r>
    </w:p>
    <w:p>
      <w:pPr>
        <w:numPr>
          <w:ilvl w:val="0"/>
          <w:numId w:val="1001"/>
        </w:numPr>
        <w:pStyle w:val="Compact"/>
      </w:pPr>
      <w:r>
        <w:rPr>
          <w:bCs/>
          <w:b/>
        </w:rPr>
        <w:t xml:space="preserve">Cultural Expectations:</w:t>
      </w:r>
      <w:r>
        <w:t xml:space="preserve"> </w:t>
      </w:r>
      <w:r>
        <w:t xml:space="preserve">Parents in Iran place an immense premium on academic achievement, particularly in STEM fields and language acquisition. Administrators must manage these high expectations while promoting holistic student development.</w:t>
      </w:r>
    </w:p>
    <w:p>
      <w:pPr>
        <w:pStyle w:val="FirstParagraph"/>
      </w:pPr>
      <w:r>
        <w:t xml:space="preserve">The</w:t>
      </w:r>
      <w:r>
        <w:t xml:space="preserve"> </w:t>
      </w:r>
      <w:r>
        <w:rPr>
          <w:bCs/>
          <w:b/>
        </w:rPr>
        <w:t xml:space="preserve">Education Administrator</w:t>
      </w:r>
      <w:r>
        <w:t xml:space="preserve"> </w:t>
      </w:r>
      <w:r>
        <w:t xml:space="preserve">operates within a system governed by the Ministry of Education's centralized directives but requires significant autonomy to address local realities effectively.</w:t>
      </w:r>
    </w:p>
    <w:bookmarkEnd w:id="23"/>
    <w:bookmarkStart w:id="24" w:name="key-challenges-for-administrators"/>
    <w:p>
      <w:pPr>
        <w:pStyle w:val="Heading3"/>
      </w:pPr>
      <w:r>
        <w:t xml:space="preserve">3. Key Challenges for Administrators</w:t>
      </w:r>
    </w:p>
    <w:p>
      <w:pPr>
        <w:pStyle w:val="FirstParagraph"/>
      </w:pPr>
      <w:r>
        <w:rPr>
          <w:bCs/>
          <w:b/>
        </w:rPr>
        <w:t xml:space="preserve">Economic Sanctions &amp; Resource Allocation:</w:t>
      </w:r>
      <w:r>
        <w:br/>
      </w:r>
      <w:r>
        <w:t xml:space="preserve">International sanctions have historically impacted the availability of imported educational materials and technology. Administrators in Tehran must be adept at finding local alternatives, optimizing existing infrastructure, and fostering public-private partnerships to sustain quality education.</w:t>
      </w:r>
    </w:p>
    <w:p>
      <w:pPr>
        <w:pStyle w:val="BodyText"/>
      </w:pPr>
      <w:r>
        <w:rPr>
          <w:bCs/>
          <w:b/>
        </w:rPr>
        <w:t xml:space="preserve">Teacher Retention:</w:t>
      </w:r>
      <w:r>
        <w:t xml:space="preserve"> </w:t>
      </w:r>
      <w:r>
        <w:t xml:space="preserve">Brain drain remains a concern. Effective administrators implement motivational strategies, continuous professional development (CPD) programs, and supportive work environments to retain high-quality faculty in Tehran's competitive labor market.</w:t>
      </w:r>
    </w:p>
    <w:bookmarkEnd w:id="24"/>
    <w:bookmarkStart w:id="25" w:name="X463f75a863e53788bf4f613b5f0a17765a8016f"/>
    <w:p>
      <w:pPr>
        <w:pStyle w:val="Heading3"/>
      </w:pPr>
      <w:r>
        <w:t xml:space="preserve">4. Strategic Pillars of Modern Administration</w:t>
      </w:r>
    </w:p>
    <w:p>
      <w:pPr>
        <w:pStyle w:val="FirstParagraph"/>
      </w:pPr>
      <w:r>
        <w:rPr>
          <w:bCs/>
          <w:b/>
        </w:rPr>
        <w:t xml:space="preserve">A. Technological Integration (EdTech):</w:t>
      </w:r>
      <w:r>
        <w:br/>
      </w:r>
      <w:r>
        <w:t xml:space="preserve">Tehran is witnessing a surge in digital adoption post-pandemic. The administrator's role is to lead the transition from traditional rote learning to interactive, technology-enhanced pedagogy. This involves investing in Learning Management Systems (LMS) and ensuring teachers are digitally literate.</w:t>
      </w:r>
    </w:p>
    <w:p>
      <w:pPr>
        <w:pStyle w:val="BodyText"/>
      </w:pPr>
      <w:r>
        <w:rPr>
          <w:bCs/>
          <w:b/>
        </w:rPr>
        <w:t xml:space="preserve">B. Cultural Stewardship:</w:t>
      </w:r>
      <w:r>
        <w:br/>
      </w:r>
      <w:r>
        <w:t xml:space="preserve">Iranian education is deeply influenced by Islamic values and Persian cultural heritage. An effective administrator does not view these as obstacles but as foundational elements. Curriculum implementation must respect local ethics while introducing global perspectives on critical thinking and civic responsibility.</w:t>
      </w:r>
    </w:p>
    <w:p>
      <w:pPr>
        <w:pStyle w:val="BodyText"/>
      </w:pPr>
      <w:r>
        <w:rPr>
          <w:bCs/>
          <w:b/>
        </w:rPr>
        <w:t xml:space="preserve">C. Community Engagement:</w:t>
      </w:r>
      <w:r>
        <w:br/>
      </w:r>
      <w:r>
        <w:t xml:space="preserve">In Tehran, the relationship between schools and neighborhoods (Mahalleh) is strong. Administrators act as bridges, engaging parents and local community leaders in school governance committees to foster a sense of shared ownership over educational outcomes.</w:t>
      </w:r>
    </w:p>
    <w:bookmarkEnd w:id="25"/>
    <w:bookmarkStart w:id="26" w:name="methodology-case-study-approach"/>
    <w:p>
      <w:pPr>
        <w:pStyle w:val="Heading3"/>
      </w:pPr>
      <w:r>
        <w:t xml:space="preserve">5. Methodology &amp; Case Study Approach</w:t>
      </w:r>
    </w:p>
    <w:p>
      <w:pPr>
        <w:pStyle w:val="FirstParagraph"/>
      </w:pPr>
      <w:r>
        <w:t xml:space="preserve">This presentation draws upon qualitative case studies from three distinct districts in Tehran:</w:t>
      </w:r>
    </w:p>
    <w:p>
      <w:pPr>
        <w:numPr>
          <w:ilvl w:val="0"/>
          <w:numId w:val="1002"/>
        </w:numPr>
        <w:pStyle w:val="Compact"/>
      </w:pPr>
      <w:r>
        <w:rPr>
          <w:bCs/>
          <w:b/>
        </w:rPr>
        <w:t xml:space="preserve">District 1 (North):</w:t>
      </w:r>
      <w:r>
        <w:t xml:space="preserve"> </w:t>
      </w:r>
      <w:r>
        <w:t xml:space="preserve">High-performing, resource-rich private and state schools. Focus on innovation and international accreditation.</w:t>
      </w:r>
    </w:p>
    <w:p>
      <w:pPr>
        <w:numPr>
          <w:ilvl w:val="0"/>
          <w:numId w:val="1002"/>
        </w:numPr>
        <w:pStyle w:val="Compact"/>
      </w:pPr>
      <w:r>
        <w:rPr>
          <w:bCs/>
          <w:b/>
        </w:rPr>
        <w:t xml:space="preserve">District 6 (Central):</w:t>
      </w:r>
      <w:r>
        <w:t xml:space="preserve"> </w:t>
      </w:r>
      <w:r>
        <w:t xml:space="preserve">Mixed demographics. Focus on equity and standardized improvement metrics.</w:t>
      </w:r>
    </w:p>
    <w:p>
      <w:pPr>
        <w:numPr>
          <w:ilvl w:val="0"/>
          <w:numId w:val="1002"/>
        </w:numPr>
        <w:pStyle w:val="Compact"/>
      </w:pPr>
      <w:r>
        <w:rPr>
          <w:bCs/>
          <w:b/>
        </w:rPr>
        <w:t xml:space="preserve">Districts 17 &amp; 20 (West/South):</w:t>
      </w:r>
      <w:r>
        <w:t xml:space="preserve"> </w:t>
      </w:r>
      <w:r>
        <w:t xml:space="preserve">Rapidly growing, lower-income areas. Focus on infrastructure development and basic literacy/numeracy interventions.</w:t>
      </w:r>
    </w:p>
    <w:p>
      <w:pPr>
        <w:pStyle w:val="FirstParagraph"/>
      </w:pPr>
      <w:r>
        <w:t xml:space="preserve">Data collected from school leaders in these areas highlights that successful administrators share common traits: resilience, adaptability, and a strong commitment to ethical leadership.</w:t>
      </w:r>
    </w:p>
    <w:bookmarkEnd w:id="26"/>
    <w:bookmarkStart w:id="27" w:name="recommendations-for-stakeholders"/>
    <w:p>
      <w:pPr>
        <w:pStyle w:val="Heading3"/>
      </w:pPr>
      <w:r>
        <w:t xml:space="preserve">6. Recommendations for Stakeholders</w:t>
      </w:r>
    </w:p>
    <w:p>
      <w:pPr>
        <w:numPr>
          <w:ilvl w:val="0"/>
          <w:numId w:val="1003"/>
        </w:numPr>
        <w:pStyle w:val="Compact"/>
      </w:pPr>
      <w:r>
        <w:rPr>
          <w:bCs/>
          <w:b/>
        </w:rPr>
        <w:t xml:space="preserve">For Policymakers in Tehran:</w:t>
      </w:r>
      <w:r>
        <w:t xml:space="preserve"> </w:t>
      </w:r>
      <w:r>
        <w:t xml:space="preserve">Decentralize decision-making power to allow school-level administrators more flexibility in budget allocation and hiring.</w:t>
      </w:r>
    </w:p>
    <w:p>
      <w:pPr>
        <w:numPr>
          <w:ilvl w:val="0"/>
          <w:numId w:val="1003"/>
        </w:numPr>
        <w:pStyle w:val="Compact"/>
      </w:pPr>
      <w:r>
        <w:rPr>
          <w:bCs/>
          <w:b/>
        </w:rPr>
        <w:t xml:space="preserve">For University Programs:</w:t>
      </w:r>
      <w:r>
        <w:t xml:space="preserve"> </w:t>
      </w:r>
      <w:r>
        <w:t xml:space="preserve">Reform teacher-training curricula to include modules on crisis management, digital leadership, and cross-cultural communication.</w:t>
      </w:r>
    </w:p>
    <w:p>
      <w:pPr>
        <w:numPr>
          <w:ilvl w:val="0"/>
          <w:numId w:val="1003"/>
        </w:numPr>
        <w:pStyle w:val="Compact"/>
      </w:pPr>
      <w:r>
        <w:rPr>
          <w:bCs/>
          <w:b/>
        </w:rPr>
        <w:t xml:space="preserve">For Current Administrators:</w:t>
      </w:r>
      <w:r>
        <w:t xml:space="preserve"> </w:t>
      </w:r>
      <w:r>
        <w:t xml:space="preserve">Prioritize data-driven decision-making. Utilize local data analytics to identify achievement gaps early and intervene before they widen.</w:t>
      </w:r>
    </w:p>
    <w:bookmarkEnd w:id="27"/>
    <w:bookmarkStart w:id="28" w:name="conclusion-future-outlook"/>
    <w:p>
      <w:pPr>
        <w:pStyle w:val="Heading3"/>
      </w:pPr>
      <w:r>
        <w:t xml:space="preserve">Conclusion &amp; Future Outlook</w:t>
      </w:r>
    </w:p>
    <w:p>
      <w:pPr>
        <w:pStyle w:val="FirstParagraph"/>
      </w:pPr>
      <w:r>
        <w:t xml:space="preserve">The future of education in Iran hinges on the capability of its administrative cadre to evolve. In Tehran, where tradition meets modernity, the</w:t>
      </w:r>
      <w:r>
        <w:t xml:space="preserve"> </w:t>
      </w:r>
      <w:r>
        <w:rPr>
          <w:bCs/>
          <w:b/>
        </w:rPr>
        <w:t xml:space="preserve">Education Administrator</w:t>
      </w:r>
      <w:r>
        <w:t xml:space="preserve"> </w:t>
      </w:r>
      <w:r>
        <w:t xml:space="preserve">must serve as a catalyst for change. By embracing technological innovation while honoring cultural identity, administrators can create resilient educational ecosystems that produce globally competitive yet locally grounded citizens.</w:t>
      </w:r>
    </w:p>
    <w:p>
      <w:pPr>
        <w:pStyle w:val="BodyText"/>
      </w:pPr>
      <w:r>
        <w:t xml:space="preserve">This poster asserts that investing in administrative capacity building is just as critical as investing in physical infrastructure or curriculum development. The path forward requires collaboration between the Tehran municipality, the Ministry of Education, and civil society to support these key leaders.</w:t>
      </w:r>
    </w:p>
    <w:bookmarkEnd w:id="28"/>
    <w:p>
      <w:pPr>
        <w:pStyle w:val="BodyText"/>
      </w:pPr>
      <w:r>
        <w:rPr>
          <w:bCs/>
          <w:b/>
        </w:rPr>
        <w:t xml:space="preserve">References:</w:t>
      </w:r>
      <w:r>
        <w:br/>
      </w:r>
      <w:r>
        <w:t xml:space="preserve">1. Iranian Ministry of Education Annual Reports (2020-2023).</w:t>
      </w:r>
      <w:r>
        <w:br/>
      </w:r>
      <w:r>
        <w:t xml:space="preserve">2. UNESCO Regional Bureau for Education in Arab States &amp; Iran Country Profiles.</w:t>
      </w:r>
      <w:r>
        <w:br/>
      </w:r>
      <w:r>
        <w:t xml:space="preserve">3. Journal of Educational Administration in the Middle East: Comparative Studies on Leadership.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the Context of Iran, Tehran</dc:title>
  <dc:creator/>
  <dc:language>en</dc:language>
  <cp:keywords/>
  <dcterms:created xsi:type="dcterms:W3CDTF">2026-07-29T10:29:41Z</dcterms:created>
  <dcterms:modified xsi:type="dcterms:W3CDTF">2026-07-29T10:29:41Z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