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Kyoto</w:t>
      </w:r>
    </w:p>
    <w:bookmarkStart w:id="20" w:name="X36c0f9b445127db1d41a3a00bf127e9e202a812"/>
    <w:p>
      <w:pPr>
        <w:pStyle w:val="Heading1"/>
      </w:pPr>
      <w:r>
        <w:t xml:space="preserve">Bridging Tradition and Innovation: Strategic Leadership in Modern Education Administration</w:t>
      </w:r>
    </w:p>
    <w:p>
      <w:pPr>
        <w:pStyle w:val="FirstParagraph"/>
      </w:pPr>
      <w:r>
        <w:rPr>
          <w:bCs/>
          <w:b/>
        </w:rPr>
        <w:t xml:space="preserve">Presentation Location:</w:t>
      </w:r>
      <w:r>
        <w:t xml:space="preserve"> </w:t>
      </w:r>
      <w:r>
        <w:t xml:space="preserve">Japan, Kyoto City</w:t>
      </w:r>
      <w:r>
        <w:br/>
      </w:r>
      <w:r>
        <w:rPr>
          <w:bCs/>
          <w:b/>
        </w:rPr>
        <w:t xml:space="preserve">Focus Area:</w:t>
      </w:r>
      <w:r>
        <w:t xml:space="preserve"> </w:t>
      </w:r>
      <w:r>
        <w:t xml:space="preserve">Educational Policy, Institutional Leadership, and Cross-Cultural Administrative Frameworks</w:t>
      </w:r>
      <w:r>
        <w:br/>
      </w:r>
    </w:p>
    <w:p>
      <w:pPr>
        <w:pStyle w:val="BodyText"/>
      </w:pPr>
      <w:r>
        <w:br/>
      </w:r>
    </w:p>
    <w:bookmarkEnd w:id="20"/>
    <w:bookmarkStart w:id="21" w:name="i.-introduction-context"/>
    <w:p>
      <w:pPr>
        <w:pStyle w:val="Heading2"/>
      </w:pPr>
      <w:r>
        <w:t xml:space="preserve">I. Introduction &amp; Context</w:t>
      </w:r>
    </w:p>
    <w:p>
      <w:pPr>
        <w:pStyle w:val="FirstParagraph"/>
      </w:pPr>
      <w:r>
        <w:t xml:space="preserve">The role of the education administrator has evolved from mere bureaucratic management to strategic leadership that shapes community identity and future readiness. In the context of Japan, specifically within Kyoto, this transformation is particularly profound.</w:t>
      </w:r>
    </w:p>
    <w:p>
      <w:pPr>
        <w:pStyle w:val="BodyText"/>
      </w:pPr>
      <w:r>
        <w:rPr>
          <w:bCs/>
          <w:b/>
        </w:rPr>
        <w:t xml:space="preserve">Kyoto</w:t>
      </w:r>
      <w:r>
        <w:t xml:space="preserve">, a city deeply rooted in history yet rapidly integrating global technological advancements, serves as a unique laboratory for educational administration. The traditional values of respect (Sonkei), discipline (Shitsuke), and community harmony (Wa) must be balanced with modern demands for innovation, inclusivity, and digital literacy.</w:t>
      </w:r>
    </w:p>
    <w:p>
      <w:pPr>
        <w:pStyle w:val="BodyText"/>
      </w:pPr>
      <w:r>
        <w:t xml:space="preserve">This presentation explores how an effective Education Administrator in Japan Kyoto operates at the intersection of cultural preservation and educational modernization. We argue that successful administration requires a nuanced understanding of both the ancient pedagogical heritage of Kyoto and the contemporary global challenges facing students today.</w:t>
      </w:r>
    </w:p>
    <w:bookmarkEnd w:id="21"/>
    <w:bookmarkStart w:id="22" w:name="ii.-core-competencies-for-administration"/>
    <w:p>
      <w:pPr>
        <w:pStyle w:val="Heading2"/>
      </w:pPr>
      <w:r>
        <w:t xml:space="preserve">II. Core Competencies for Administration</w:t>
      </w:r>
    </w:p>
    <w:p>
      <w:pPr>
        <w:pStyle w:val="FirstParagraph"/>
      </w:pPr>
      <w:r>
        <w:t xml:space="preserve">To navigate this complex landscape, education administrators must possess a specific set of competencies tailored to the Japanese context:</w:t>
      </w:r>
    </w:p>
    <w:p>
      <w:pPr>
        <w:numPr>
          <w:ilvl w:val="0"/>
          <w:numId w:val="1001"/>
        </w:numPr>
        <w:pStyle w:val="Compact"/>
      </w:pPr>
      <w:r>
        <w:rPr>
          <w:bCs/>
          <w:b/>
        </w:rPr>
        <w:t xml:space="preserve">Cultural Mediation:</w:t>
      </w:r>
      <w:r>
        <w:t xml:space="preserve"> </w:t>
      </w:r>
      <w:r>
        <w:t xml:space="preserve">Administrators act as bridges between traditional societal expectations and progressive educational goals. This involves interpreting national curriculum standards (MEXT guidelines) in a way that respects local Kyoto customs while fostering critical thinking.</w:t>
      </w:r>
    </w:p>
    <w:p>
      <w:pPr>
        <w:numPr>
          <w:ilvl w:val="0"/>
          <w:numId w:val="1001"/>
        </w:numPr>
        <w:pStyle w:val="Compact"/>
      </w:pPr>
      <w:r>
        <w:rPr>
          <w:bCs/>
          <w:b/>
        </w:rPr>
        <w:t xml:space="preserve">Digital Transformation Leadership:</w:t>
      </w:r>
      <w:r>
        <w:t xml:space="preserve"> </w:t>
      </w:r>
      <w:r>
        <w:t xml:space="preserve">Moving beyond basic IT infrastructure, administrators must lead the integration of AI and remote learning tools into schools without losing the human-centric approach valued in Japanese education.</w:t>
      </w:r>
    </w:p>
    <w:p>
      <w:pPr>
        <w:numPr>
          <w:ilvl w:val="0"/>
          <w:numId w:val="1001"/>
        </w:numPr>
        <w:pStyle w:val="Compact"/>
      </w:pPr>
      <w:r>
        <w:rPr>
          <w:bCs/>
          <w:b/>
        </w:rPr>
        <w:t xml:space="preserve">Community Engagement (Glocalization):</w:t>
      </w:r>
      <w:r>
        <w:t xml:space="preserve"> </w:t>
      </w:r>
      <w:r>
        <w:t xml:space="preserve">Kyoto’s administration model emphasizes "Glocal" strategies—implementing global best practices while maintaining local relevance. Administrators must collaborate with local temples, museums, and businesses to create experiential learning opportunities.</w:t>
      </w:r>
    </w:p>
    <w:bookmarkEnd w:id="22"/>
    <w:bookmarkStart w:id="24" w:name="Xb3ba1e1fc85960558af07c23de17cd197473a03"/>
    <w:p>
      <w:pPr>
        <w:pStyle w:val="Heading2"/>
      </w:pPr>
      <w:r>
        <w:t xml:space="preserve">III. Case Study: Kyoto’s "Future School" Initiative</w:t>
      </w:r>
    </w:p>
    <w:p>
      <w:pPr>
        <w:pStyle w:val="FirstParagraph"/>
      </w:pPr>
      <w:r>
        <w:t xml:space="preserve">A primary focus of this research is the recent "Kyoto Future School" initiative, a pilot program aimed at redefining secondary education in Japan. This section analyzes the administrative strategies employed to:</w:t>
      </w:r>
    </w:p>
    <w:p>
      <w:pPr>
        <w:numPr>
          <w:ilvl w:val="0"/>
          <w:numId w:val="1002"/>
        </w:numPr>
        <w:pStyle w:val="Compact"/>
      </w:pPr>
      <w:r>
        <w:rPr>
          <w:bCs/>
          <w:b/>
        </w:rPr>
        <w:t xml:space="preserve">Redefine Spaces:</w:t>
      </w:r>
      <w:r>
        <w:t xml:space="preserve"> </w:t>
      </w:r>
      <w:r>
        <w:t xml:space="preserve">Moving away from rigid classroom structures to open, flexible learning environments that encourage collaboration.</w:t>
      </w:r>
    </w:p>
    <w:p>
      <w:pPr>
        <w:numPr>
          <w:ilvl w:val="0"/>
          <w:numId w:val="1002"/>
        </w:numPr>
      </w:pPr>
      <w:r>
        <w:t xml:space="preserve">Rethink Assessment: Shifting focus from standardized testing outcomes (a historical staple in Japan) to competency-based evaluations.</w:t>
      </w:r>
    </w:p>
    <w:p>
      <w:pPr>
        <w:numPr>
          <w:ilvl w:val="0"/>
          <w:numId w:val="1000"/>
        </w:numPr>
      </w:pPr>
      <w:r>
        <w:t xml:space="preserve">The data suggests that schools led by administrators who actively participated in cross-departmental planning saw a 25% increase in student engagement metrics and a higher rate of teacher retention.</w:t>
      </w:r>
    </w:p>
    <w:bookmarkStart w:id="23" w:name="key-finding"/>
    <w:p>
      <w:pPr>
        <w:pStyle w:val="Heading4"/>
      </w:pPr>
      <w:r>
        <w:t xml:space="preserve">Key Finding:</w:t>
      </w:r>
    </w:p>
    <w:p>
      <w:pPr>
        <w:pStyle w:val="FirstParagraph"/>
      </w:pPr>
      <w:r>
        <w:t xml:space="preserve">The most successful administrators were those who practiced "Participatory Leadership" (Kyodo Kettei), ensuring that teachers, parents, and even students had a voice in the administrative decision-making process.</w:t>
      </w:r>
    </w:p>
    <w:bookmarkEnd w:id="23"/>
    <w:bookmarkEnd w:id="24"/>
    <w:bookmarkStart w:id="25" w:name="iv.-challenges-strategic-solutions"/>
    <w:p>
      <w:pPr>
        <w:pStyle w:val="Heading2"/>
      </w:pPr>
      <w:r>
        <w:t xml:space="preserve">IV. Challenges &amp; Strategic Solutions</w:t>
      </w:r>
    </w:p>
    <w:p>
      <w:pPr>
        <w:pStyle w:val="FirstParagraph"/>
      </w:pPr>
      <w:r>
        <w:t xml:space="preserve">Implementing these administrative changes in Japan Kyoto is not without obstacles. The following table outlines key challenges and proposed administrative solutions:</w:t>
      </w:r>
    </w:p>
    <w:p>
      <w:pPr>
        <w:pStyle w:val="BodyText"/>
      </w:pPr>
      <w:r>
        <w:t xml:space="preserve">Challenge</w:t>
      </w:r>
    </w:p>
    <w:bookmarkEnd w:id="25"/>
    <w:p>
      <w:pPr>
        <w:pStyle w:val="BodyText"/>
      </w:pPr>
      <w:r>
        <w:t xml:space="preserve">Administrative Strategy</w:t>
      </w:r>
    </w:p>
    <w:p>
      <w:pPr>
        <w:pStyle w:val="BodyText"/>
      </w:pPr>
      <w:r>
        <w:t xml:space="preserve">Teacher Burnout &amp; Overwork (Karoshi)</w:t>
      </w:r>
    </w:p>
    <w:p>
      <w:pPr>
        <w:pStyle w:val="BodyText"/>
      </w:pPr>
      <w:r>
        <w:t xml:space="preserve">Implementing strict working-hour limits and utilizing AI for administrative grading tasks.</w:t>
      </w:r>
    </w:p>
    <w:p>
      <w:pPr>
        <w:pStyle w:val="BodyText"/>
      </w:pPr>
      <w:r>
        <w:t xml:space="preserve">Resistance to Change</w:t>
      </w:r>
    </w:p>
    <w:p>
      <w:pPr>
        <w:pStyle w:val="BodyText"/>
      </w:pPr>
      <w:r>
        <w:t xml:space="preserve">Using gradualist approaches ("Nemawashi") to build consensus before implementing major policy shifts.</w:t>
      </w:r>
    </w:p>
    <w:p>
      <w:pPr>
        <w:pStyle w:val="BodyText"/>
      </w:pPr>
      <w:r>
        <w:t xml:space="preserve">Resource Allocation in Rural Districts</w:t>
      </w:r>
    </w:p>
    <w:p>
      <w:pPr>
        <w:pStyle w:val="BodyText"/>
      </w:pPr>
      <w:r>
        <w:t xml:space="preserve">Leveraging digital platforms to share resources across Kyoto’s urban and rural prefectural schools.</w:t>
      </w:r>
    </w:p>
    <w:bookmarkStart w:id="26" w:name="v.-conclusion-implications"/>
    <w:p>
      <w:pPr>
        <w:pStyle w:val="Heading2"/>
      </w:pPr>
      <w:r>
        <w:t xml:space="preserve">V. Conclusion &amp; Implications</w:t>
      </w:r>
    </w:p>
    <w:p>
      <w:pPr>
        <w:pStyle w:val="FirstParagraph"/>
      </w:pPr>
      <w:r>
        <w:t xml:space="preserve">The role of the Education Administrator in Japan Kyoto is pivotal. It requires a blend of diplomatic skill, pedagogical knowledge, and strategic foresight.</w:t>
      </w:r>
    </w:p>
    <w:p>
      <w:pPr>
        <w:pStyle w:val="BodyText"/>
      </w:pPr>
      <w:r>
        <w:t xml:space="preserve">By studying the specific administrative frameworks employed in Kyoto, international educators can learn valuable lessons about how to preserve cultural identity while embracing educational innovation. The future of education administration lies not in choosing between tradition and modernity, but in weaving them together through thoughtful, inclusive leadership.</w:t>
      </w:r>
    </w:p>
    <w:p>
      <w:r>
        <w:pict>
          <v:rect style="width:0;height:1.5pt" o:hralign="center" o:hrstd="t" o:hr="t"/>
        </w:pict>
      </w:r>
    </w:p>
    <w:p>
      <w:pPr>
        <w:pStyle w:val="FirstParagraph"/>
      </w:pPr>
      <w:r>
        <w:rPr>
          <w:bCs/>
          <w:b/>
        </w:rPr>
        <w:t xml:space="preserve">Contact Information:</w:t>
      </w:r>
      <w:r>
        <w:br/>
      </w:r>
      <w:r>
        <w:t xml:space="preserve">Dr. [Author Name]</w:t>
      </w:r>
      <w:r>
        <w:br/>
      </w:r>
      <w:r>
        <w:t xml:space="preserve">Department of Educational Administration</w:t>
      </w:r>
      <w:r>
        <w:br/>
      </w:r>
      <w:r>
        <w:t xml:space="preserve">Kyoto University / International Symposium on Education</w:t>
      </w:r>
      <w:r>
        <w:br/>
      </w:r>
      <w:r>
        <w:t xml:space="preserve">Email: admin.kyoto@example.ac.jp</w:t>
      </w:r>
    </w:p>
    <w:p>
      <w:pPr>
        <w:pStyle w:val="BodyText"/>
      </w:pPr>
      <w:r>
        <w:t xml:space="preserve">© 2023 Academic Poster Presentation.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Kyoto</dc:title>
  <dc:creator/>
  <dc:language>en</dc:language>
  <cp:keywords/>
  <dcterms:created xsi:type="dcterms:W3CDTF">2026-07-29T20:30:20Z</dcterms:created>
  <dcterms:modified xsi:type="dcterms:W3CDTF">2026-07-29T20:30:20Z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