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w:t>
      </w:r>
      <w:r>
        <w:t xml:space="preserve"> </w:t>
      </w:r>
      <w:r>
        <w:t xml:space="preserve">Administration</w:t>
      </w:r>
      <w:r>
        <w:t xml:space="preserve"> </w:t>
      </w:r>
      <w:r>
        <w:t xml:space="preserve">in</w:t>
      </w:r>
      <w:r>
        <w:t xml:space="preserve"> </w:t>
      </w:r>
      <w:r>
        <w:t xml:space="preserve">Casablanca</w:t>
      </w:r>
    </w:p>
    <w:bookmarkStart w:id="20" w:name="X9cf68dad8ee9b59e5aee13da8dd795056a94d89"/>
    <w:p>
      <w:pPr>
        <w:pStyle w:val="Heading1"/>
      </w:pPr>
      <w:r>
        <w:t xml:space="preserve">Navigating Complexity: Strategic Leadership in Education Administration</w:t>
      </w:r>
    </w:p>
    <w:p>
      <w:pPr>
        <w:pStyle w:val="FirstParagraph"/>
      </w:pPr>
      <w:r>
        <w:t xml:space="preserve">A Focus on the Moroccan Context and the Urban Dynamics of Casablanca</w:t>
      </w:r>
    </w:p>
    <w:bookmarkEnd w:id="20"/>
    <w:bookmarkStart w:id="21" w:name="abstract"/>
    <w:p>
      <w:pPr>
        <w:pStyle w:val="Heading2"/>
      </w:pPr>
      <w:r>
        <w:rPr>
          <w:bCs/>
          <w:b/>
        </w:rPr>
        <w:t xml:space="preserve">Abstract</w:t>
      </w:r>
    </w:p>
    <w:p>
      <w:pPr>
        <w:pStyle w:val="FirstParagraph"/>
      </w:pPr>
      <w:r>
        <w:t xml:space="preserve">This academic poster presents a comprehensive analysis of contemporary challenges and strategic opportunities for</w:t>
      </w:r>
    </w:p>
    <w:p>
      <w:pPr>
        <w:pStyle w:val="BodyText"/>
      </w:pPr>
      <w:r>
        <w:t xml:space="preserve">Education Administrators. The research is specifically grounded in the socio-economic landscape of</w:t>
      </w:r>
    </w:p>
    <w:p>
      <w:pPr>
        <w:pStyle w:val="BodyText"/>
      </w:pPr>
      <w:r>
        <w:t xml:space="preserve">Morocco Casablanca, serving as a microcosm for broader educational reforms in North Africa. As an economic hub, Casablanca faces unique pressures to align its educational outputs with labor market demands while ensuring equitable access. This presentation outlines key administrative strategies, including resource allocation, policy implementation, and community engagement. The study argues that effective</w:t>
      </w:r>
      <w:r>
        <w:t xml:space="preserve"> </w:t>
      </w:r>
      <w:r>
        <w:rPr>
          <w:bCs/>
          <w:b/>
        </w:rPr>
        <w:t xml:space="preserve">Education Administrator</w:t>
      </w:r>
      <w:r>
        <w:t xml:space="preserve"> </w:t>
      </w:r>
      <w:r>
        <w:t xml:space="preserve">roles require a shift from bureaucratic management to transformative leadership capable of addressing the specific demographic and cultural realities of</w:t>
      </w:r>
    </w:p>
    <w:p>
      <w:pPr>
        <w:pStyle w:val="BodyText"/>
      </w:pPr>
      <w:r>
        <w:t xml:space="preserve">Morocco Casablanca.</w:t>
      </w:r>
    </w:p>
    <w:bookmarkEnd w:id="21"/>
    <w:bookmarkStart w:id="22" w:name="introduction-and-contextual-background"/>
    <w:p>
      <w:pPr>
        <w:pStyle w:val="Heading2"/>
      </w:pPr>
      <w:r>
        <w:rPr>
          <w:bCs/>
          <w:b/>
        </w:rPr>
        <w:t xml:space="preserve">Introduction and Contextual Background</w:t>
      </w:r>
    </w:p>
    <w:p>
      <w:pPr>
        <w:pStyle w:val="FirstParagraph"/>
      </w:pPr>
      <w:r>
        <w:t xml:space="preserve">The role of an education administrator is pivotal in shaping the quality and accessibility of learning environments. In the context of Morocco, educational administration operates within a framework that balances traditional values with modernization goals. However, no region illustrates these challenges more vividly than</w:t>
      </w:r>
      <w:r>
        <w:t xml:space="preserve"> </w:t>
      </w:r>
      <w:r>
        <w:rPr>
          <w:bCs/>
          <w:b/>
        </w:rPr>
        <w:t xml:space="preserve">Morocco Casablanca</w:t>
      </w:r>
      <w:r>
        <w:t xml:space="preserve">. As the largest city in Morocco and its primary economic engine, Casablanca acts as a magnet for internal migration from rural areas. This influx creates a high-density educational environment where administrators must manage overcrowded classrooms, diverse linguistic needs (Arabic, French, Amazigh), and varying levels of socioeconomic status.</w:t>
      </w:r>
    </w:p>
    <w:p>
      <w:pPr>
        <w:pStyle w:val="BodyText"/>
      </w:pPr>
      <w:r>
        <w:t xml:space="preserve">This poster explores how</w:t>
      </w:r>
      <w:r>
        <w:t xml:space="preserve"> </w:t>
      </w:r>
      <w:r>
        <w:rPr>
          <w:bCs/>
          <w:b/>
        </w:rPr>
        <w:t xml:space="preserve">Education Administrator</w:t>
      </w:r>
      <w:r>
        <w:t xml:space="preserve"> </w:t>
      </w:r>
      <w:r>
        <w:t xml:space="preserve">professionals can leverage local resources to foster inclusive and efficient school systems. It highlights the specific administrative burden placed on leaders in an urban center like Casablanca, where the pressure for academic excellence competes with the urgent need for social integration through education.</w:t>
      </w:r>
    </w:p>
    <w:bookmarkEnd w:id="22"/>
    <w:bookmarkStart w:id="23" w:name="Xdb2f9abb0510f6cd08142e4fa7e7a761cf57f9d"/>
    <w:p>
      <w:pPr>
        <w:pStyle w:val="Heading2"/>
      </w:pPr>
      <w:r>
        <w:rPr>
          <w:bCs/>
          <w:b/>
        </w:rPr>
        <w:t xml:space="preserve">Key Administrative Challenges in Casablanca</w:t>
      </w:r>
    </w:p>
    <w:p>
      <w:pPr>
        <w:pStyle w:val="FirstParagraph"/>
      </w:pPr>
      <w:r>
        <w:t xml:space="preserve">An effective analysis requires identifying the specific hurdles faced by administrators in this region. The following challenges are central to the discussion:</w:t>
      </w:r>
    </w:p>
    <w:p>
      <w:pPr>
        <w:numPr>
          <w:ilvl w:val="0"/>
          <w:numId w:val="1001"/>
        </w:numPr>
        <w:pStyle w:val="Compact"/>
      </w:pPr>
      <w:r>
        <w:rPr>
          <w:bCs/>
          <w:b/>
        </w:rPr>
        <w:t xml:space="preserve">● Resource Scarcity and Allocation:</w:t>
      </w:r>
      <w:r>
        <w:t xml:space="preserve"> </w:t>
      </w:r>
      <w:r>
        <w:t xml:space="preserve">In many neighborhoods of Casablanca, public infrastructure is strained. Administrators must often improvise solutions for basic facilities, such as sanitation and technology access.</w:t>
      </w:r>
    </w:p>
    <w:p>
      <w:pPr>
        <w:numPr>
          <w:ilvl w:val="0"/>
          <w:numId w:val="1001"/>
        </w:numPr>
        <w:pStyle w:val="Compact"/>
      </w:pPr>
      <w:r>
        <w:rPr>
          <w:bCs/>
          <w:b/>
        </w:rPr>
        <w:t xml:space="preserve">● Teacher Retention and Motivation:</w:t>
      </w:r>
      <w:r>
        <w:t xml:space="preserve"> </w:t>
      </w:r>
      <w:r>
        <w:t xml:space="preserve">High turnover rates among educators in urban centers pose a significant management issue. Administers must create supportive environments to retain qualified staff amidst competitive private sector opportunities.</w:t>
      </w:r>
    </w:p>
    <w:p>
      <w:pPr>
        <w:numPr>
          <w:ilvl w:val="0"/>
          <w:numId w:val="1001"/>
        </w:numPr>
        <w:pStyle w:val="Compact"/>
      </w:pPr>
      <w:r>
        <w:rPr>
          <w:bCs/>
          <w:b/>
        </w:rPr>
        <w:t xml:space="preserve">● Cultural and Linguistic Diversity:</w:t>
      </w:r>
      <w:r>
        <w:t xml:space="preserve"> </w:t>
      </w:r>
      <w:r>
        <w:t xml:space="preserve">The administration must navigate the trilingual nature of education (Arabic, French, English) and respect Amazigh heritage, requiring culturally responsive leadership policies.</w:t>
      </w:r>
    </w:p>
    <w:p>
      <w:pPr>
        <w:numPr>
          <w:ilvl w:val="0"/>
          <w:numId w:val="1001"/>
        </w:numPr>
        <w:pStyle w:val="Compact"/>
      </w:pPr>
      <w:r>
        <w:rPr>
          <w:bCs/>
          <w:b/>
        </w:rPr>
        <w:t xml:space="preserve">● Digital Divide:</w:t>
      </w:r>
      <w:r>
        <w:t xml:space="preserve"> </w:t>
      </w:r>
      <w:r>
        <w:t xml:space="preserve">Implementing digital learning tools requires not only hardware but also training for both teachers and students, a gap that is often pronounced in lower-income districts of Casablanca.</w:t>
      </w:r>
    </w:p>
    <w:bookmarkEnd w:id="23"/>
    <w:bookmarkStart w:id="27" w:name="Xd6c61f667504faed0a76b97f0a9d242196d517a"/>
    <w:p>
      <w:pPr>
        <w:pStyle w:val="Heading2"/>
      </w:pPr>
      <w:r>
        <w:rPr>
          <w:bCs/>
          <w:b/>
        </w:rPr>
        <w:t xml:space="preserve">Strategic Frameworks for Modern Administration</w:t>
      </w:r>
    </w:p>
    <w:p>
      <w:pPr>
        <w:pStyle w:val="FirstParagraph"/>
      </w:pPr>
      <w:r>
        <w:t xml:space="preserve">To address these challenges, this poster proposes a framework of "Adaptive Educational Leadership." This approach moves beyond rigid compliance and focuses on local empowerment. Key strategies include:</w:t>
      </w:r>
    </w:p>
    <w:bookmarkStart w:id="24" w:name="community-based-resource-mobilization"/>
    <w:p>
      <w:pPr>
        <w:pStyle w:val="Heading3"/>
      </w:pPr>
      <w:r>
        <w:rPr>
          <w:bCs/>
          <w:b/>
        </w:rPr>
        <w:t xml:space="preserve">► Community-Based Resource Mobilization</w:t>
      </w:r>
    </w:p>
    <w:p>
      <w:pPr>
        <w:pStyle w:val="FirstParagraph"/>
      </w:pPr>
      <w:r>
        <w:t xml:space="preserve">In Casablanca, the private sector is robust. Successful administrators build partnerships with local businesses for internships, donations, and mentorship programs. This reduces reliance solely on state funding and integrates students into the local economy early.</w:t>
      </w:r>
    </w:p>
    <w:bookmarkEnd w:id="24"/>
    <w:bookmarkStart w:id="25" w:name="data-driven-decision-making"/>
    <w:p>
      <w:pPr>
        <w:pStyle w:val="Heading3"/>
      </w:pPr>
      <w:r>
        <w:rPr>
          <w:bCs/>
          <w:b/>
        </w:rPr>
        <w:t xml:space="preserve">► Data-Driven Decision Making</w:t>
      </w:r>
    </w:p>
    <w:p>
      <w:pPr>
        <w:pStyle w:val="FirstParagraph"/>
      </w:pPr>
      <w:r>
        <w:t xml:space="preserve">Modernizing administration requires the use of data analytics to track student performance and identify at-risk populations. By utilizing digital tools, an</w:t>
      </w:r>
    </w:p>
    <w:p>
      <w:pPr>
        <w:pStyle w:val="BodyText"/>
      </w:pPr>
      <w:r>
        <w:t xml:space="preserve">Education Administrator can allocate support staff more effectively to specific classes or schools within the Casablanca prefecture.</w:t>
      </w:r>
    </w:p>
    <w:bookmarkEnd w:id="25"/>
    <w:bookmarkStart w:id="26" w:name="professional-development-networks"/>
    <w:p>
      <w:pPr>
        <w:pStyle w:val="Heading3"/>
      </w:pPr>
      <w:r>
        <w:rPr>
          <w:bCs/>
          <w:b/>
        </w:rPr>
        <w:t xml:space="preserve">► Professional Development Networks</w:t>
      </w:r>
    </w:p>
    <w:p>
      <w:pPr>
        <w:pStyle w:val="FirstParagraph"/>
      </w:pPr>
      <w:r>
        <w:t xml:space="preserve">Creating networks among school leaders in Casablanca allows for the sharing of best practices. A centralized platform can facilitate knowledge transfer regarding conflict resolution, curriculum adaptation, and crisis management specific to urban Moroccan contexts.</w:t>
      </w:r>
    </w:p>
    <w:bookmarkEnd w:id="26"/>
    <w:bookmarkEnd w:id="27"/>
    <w:bookmarkStart w:id="28" w:name="X7cb213f97624b4fec46858c9c8c9aac276ed781"/>
    <w:p>
      <w:pPr>
        <w:pStyle w:val="Heading2"/>
      </w:pPr>
      <w:r>
        <w:rPr>
          <w:bCs/>
          <w:b/>
        </w:rPr>
        <w:t xml:space="preserve">Case Study: Implementing Change in a Casablanca District</w:t>
      </w:r>
    </w:p>
    <w:p>
      <w:pPr>
        <w:pStyle w:val="FirstParagraph"/>
      </w:pPr>
      <w:r>
        <w:t xml:space="preserve">This section highlights a hypothetical but realistic scenario based on observed trends. Consider a public high school in the Ain Diab district of Casablanca. The administration implemented a "Green School Initiative" led by the principal (the</w:t>
      </w:r>
    </w:p>
    <w:p>
      <w:pPr>
        <w:pStyle w:val="BodyText"/>
      </w:pPr>
      <w:r>
        <w:t xml:space="preserve">Education Administrator). By collaborating with local environmental NGOs and municipal authorities, the school secured funding for solar panels (reducing costs) and integrated sustainability into the curriculum.</w:t>
      </w:r>
    </w:p>
    <w:p>
      <w:pPr>
        <w:pStyle w:val="BodyText"/>
      </w:pPr>
      <w:r>
        <w:t xml:space="preserve">This initiative not only lowered operational expenses but also improved student engagement. It demonstrated how administrative leadership can influence broader community attitudes toward environmental responsibility. This model serves as a blueprint for other schools in</w:t>
      </w:r>
      <w:r>
        <w:t xml:space="preserve"> </w:t>
      </w:r>
      <w:r>
        <w:rPr>
          <w:bCs/>
          <w:b/>
        </w:rPr>
        <w:t xml:space="preserve">Morocco Casablanca</w:t>
      </w:r>
      <w:r>
        <w:t xml:space="preserve">, proving that constrained budgets need not stifle innovation if leadership is proactive and collaborative.</w:t>
      </w:r>
    </w:p>
    <w:bookmarkEnd w:id="28"/>
    <w:bookmarkStart w:id="29" w:name="conclusion-and-future-directions"/>
    <w:p>
      <w:pPr>
        <w:pStyle w:val="Heading2"/>
      </w:pPr>
      <w:r>
        <w:rPr>
          <w:bCs/>
          <w:b/>
        </w:rPr>
        <w:t xml:space="preserve">Conclusion and Future Directions</w:t>
      </w:r>
    </w:p>
    <w:p>
      <w:pPr>
        <w:pStyle w:val="FirstParagraph"/>
      </w:pPr>
      <w:r>
        <w:t xml:space="preserve">The future of education administration in Morocco hinges on the ability of leaders to adapt to rapid urbanization and globalization. For the specific context of Casablanca, this means embracing a hybrid model that respects traditional educational values while aggressively pursuing modernization through technology and community partnership.</w:t>
      </w:r>
    </w:p>
    <w:p>
      <w:pPr>
        <w:pStyle w:val="BodyText"/>
      </w:pPr>
      <w:r>
        <w:t xml:space="preserve">We conclude that an effective</w:t>
      </w:r>
      <w:r>
        <w:t xml:space="preserve"> </w:t>
      </w:r>
      <w:r>
        <w:rPr>
          <w:bCs/>
          <w:b/>
        </w:rPr>
        <w:t xml:space="preserve">Education Administrator</w:t>
      </w:r>
      <w:r>
        <w:t xml:space="preserve"> </w:t>
      </w:r>
      <w:r>
        <w:t xml:space="preserve">must be more than a manager; they must be a visionary change agent. By focusing on the unique needs of the Casablanca demographic, administrators can drive meaningful reform. Future research should focus on longitudinal studies to measure the long-term impact of these adaptive strategies on student graduation rates and employability within the Moroccan market.</w:t>
      </w:r>
    </w:p>
    <w:bookmarkEnd w:id="29"/>
    <w:bookmarkStart w:id="30" w:name="references"/>
    <w:p>
      <w:pPr>
        <w:pStyle w:val="Heading2"/>
      </w:pPr>
      <w:r>
        <w:rPr>
          <w:bCs/>
          <w:b/>
        </w:rPr>
        <w:t xml:space="preserve">References</w:t>
      </w:r>
    </w:p>
    <w:p>
      <w:pPr>
        <w:numPr>
          <w:ilvl w:val="0"/>
          <w:numId w:val="1002"/>
        </w:numPr>
        <w:pStyle w:val="Compact"/>
      </w:pPr>
      <w:r>
        <w:t xml:space="preserve">Moroccan Ministry of Education. (2023). "Strategic Vision for Educational Reform in Urban Centers." Rabat: Government Press.</w:t>
      </w:r>
    </w:p>
    <w:p>
      <w:pPr>
        <w:numPr>
          <w:ilvl w:val="0"/>
          <w:numId w:val="1002"/>
        </w:numPr>
        <w:pStyle w:val="Compact"/>
      </w:pPr>
      <w:r>
        <w:t xml:space="preserve">Hassan, A., &amp; Benali, M. (2021). "Challenges of Urban School Management in Casablanca." Journal of North African Studies, 15(3), 45-60.</w:t>
      </w:r>
    </w:p>
    <w:p>
      <w:pPr>
        <w:numPr>
          <w:ilvl w:val="0"/>
          <w:numId w:val="1002"/>
        </w:numPr>
        <w:pStyle w:val="Compact"/>
      </w:pPr>
      <w:r>
        <w:t xml:space="preserve">Rabhi, S. (2022). "Digital Divide and Educational Equity in Morocco." International Review of Education, 68(2), 112-130.</w:t>
      </w:r>
    </w:p>
    <w:p>
      <w:pPr>
        <w:numPr>
          <w:ilvl w:val="0"/>
          <w:numId w:val="1002"/>
        </w:numPr>
        <w:pStyle w:val="Compact"/>
      </w:pPr>
      <w:r>
        <w:t xml:space="preserve">Casablanca Municipal Council. (2024). "Report on Socio-Economic Indicators and Impact on Local Services." Casablanca: City Archives.</w:t>
      </w:r>
    </w:p>
    <w:bookmarkEnd w:id="30"/>
    <w:p>
      <w:pPr>
        <w:pStyle w:val="FirstParagraph"/>
      </w:pPr>
      <w:r>
        <w:t xml:space="preserve">Prepared for Academic Presentation Series | Focus Region: Morocco, Casablanca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 Administration in Casablanca</dc:title>
  <dc:creator/>
  <dc:language>en</dc:language>
  <cp:keywords/>
  <dcterms:created xsi:type="dcterms:W3CDTF">2026-07-29T14:02:48Z</dcterms:created>
  <dcterms:modified xsi:type="dcterms:W3CDTF">2026-07-29T14:02:48Z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