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0922ee73d714e2518cfb48851353de7b7f9a7c8"/>
    <w:p>
      <w:pPr>
        <w:pStyle w:val="Heading1"/>
      </w:pPr>
      <w:r>
        <w:t xml:space="preserve">Strategic Leadership in Educational Administration: Navigating Complexity in New Zealand Wellington</w:t>
      </w:r>
    </w:p>
    <w:p>
      <w:pPr>
        <w:pStyle w:val="FirstParagraph"/>
      </w:pPr>
      <w:r>
        <w:t xml:space="preserve">A Poster Presentation on Modern Practices for Education Administrators</w:t>
      </w:r>
    </w:p>
    <w:bookmarkEnd w:id="20"/>
    <w:p>
      <w:pPr>
        <w:pStyle w:val="BodyText"/>
      </w:pPr>
      <w:r>
        <w:rPr>
          <w:bCs/>
          <w:b/>
        </w:rPr>
        <w:t xml:space="preserve">Presenter:</w:t>
      </w:r>
      <w:r>
        <w:t xml:space="preserve"> </w:t>
      </w:r>
      <w:r>
        <w:t xml:space="preserve">Dr. Alistair Thomson</w:t>
      </w:r>
    </w:p>
    <w:p>
      <w:pPr>
        <w:pStyle w:val="BodyText"/>
      </w:pPr>
      <w:r>
        <w:rPr>
          <w:bCs/>
          <w:b/>
        </w:rPr>
        <w:t xml:space="preserve">Institution:</w:t>
      </w:r>
      <w:r>
        <w:t xml:space="preserve"> </w:t>
      </w:r>
      <w:r>
        <w:t xml:space="preserve">Wellington Institute of Educational Leadership &amp; Policy Studies</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Te Papa Tongarewa, New Zealand Wellington</w:t>
      </w:r>
    </w:p>
    <w:bookmarkStart w:id="21" w:name="abstract"/>
    <w:p>
      <w:pPr>
        <w:pStyle w:val="Heading2"/>
      </w:pPr>
      <w:r>
        <w:t xml:space="preserve">Abstract</w:t>
      </w:r>
    </w:p>
    <w:p>
      <w:pPr>
        <w:pStyle w:val="FirstParagraph"/>
      </w:pPr>
      <w:r>
        <w:t xml:space="preserve">The role of the</w:t>
      </w:r>
      <w:r>
        <w:t xml:space="preserve"> </w:t>
      </w:r>
      <w:r>
        <w:rPr>
          <w:bCs/>
          <w:b/>
        </w:rPr>
        <w:t xml:space="preserve">Education Administrator</w:t>
      </w:r>
      <w:r>
        <w:t xml:space="preserve"> </w:t>
      </w:r>
      <w:r>
        <w:t xml:space="preserve">has evolved significantly in recent years, transitioning from purely operational management to strategic leadership that influences pedagogical outcomes and community engagement. This presentation examines the unique challenges and opportunities facing educational leaders within the dynamic context of</w:t>
      </w:r>
      <w:r>
        <w:t xml:space="preserve"> </w:t>
      </w:r>
      <w:r>
        <w:rPr>
          <w:bCs/>
          <w:b/>
        </w:rPr>
        <w:t xml:space="preserve">New Zealand Wellington</w:t>
      </w:r>
      <w:r>
        <w:t xml:space="preserve">. As a hub for cultural diversity, policy innovation, and rapid urban development, Wellington presents a distinct environment for educational administration. This poster synthesizes current research on leadership frameworks, focusing on Te Tiriti o Waitangi obligations, digital transformation in schools, and socio-emotional learning integration. The aim is to provide actionable insights for</w:t>
      </w:r>
      <w:r>
        <w:t xml:space="preserve"> </w:t>
      </w:r>
      <w:r>
        <w:rPr>
          <w:bCs/>
          <w:b/>
        </w:rPr>
        <w:t xml:space="preserve">Education Administrator</w:t>
      </w:r>
      <w:r>
        <w:t xml:space="preserve"> </w:t>
      </w:r>
      <w:r>
        <w:t xml:space="preserve">professionals operating within the</w:t>
      </w:r>
      <w:r>
        <w:t xml:space="preserve"> </w:t>
      </w:r>
      <w:r>
        <w:rPr>
          <w:bCs/>
          <w:b/>
        </w:rPr>
        <w:t xml:space="preserve">New Zealand Wellington</w:t>
      </w:r>
      <w:r>
        <w:t xml:space="preserve"> </w:t>
      </w:r>
      <w:r>
        <w:t xml:space="preserve">region and similar metropolitan contexts globally.</w:t>
      </w:r>
    </w:p>
    <w:bookmarkEnd w:id="21"/>
    <w:bookmarkStart w:id="22" w:name="introduction-the-wellington-context"/>
    <w:p>
      <w:pPr>
        <w:pStyle w:val="Heading2"/>
      </w:pPr>
      <w:r>
        <w:t xml:space="preserve">Introduction: The Wellington Context</w:t>
      </w:r>
    </w:p>
    <w:p>
      <w:pPr>
        <w:pStyle w:val="FirstParagraph"/>
      </w:pPr>
      <w:r>
        <w:rPr>
          <w:bCs/>
          <w:b/>
        </w:rPr>
        <w:t xml:space="preserve">New Zealand Wellington</w:t>
      </w:r>
      <w:r>
        <w:t xml:space="preserve"> </w:t>
      </w:r>
      <w:r>
        <w:t xml:space="preserve">stands as New Zealand’s capital city and a pivotal center for education policy implementation. The region features a diverse demographic mix, ranging from urban state schools to Kura Kaupapa Māori (Māori immersion schools) and private institutions. For the modern</w:t>
      </w:r>
      <w:r>
        <w:t xml:space="preserve"> </w:t>
      </w:r>
      <w:r>
        <w:rPr>
          <w:bCs/>
          <w:b/>
        </w:rPr>
        <w:t xml:space="preserve">Education Administrator</w:t>
      </w:r>
      <w:r>
        <w:t xml:space="preserve">, understanding this diversity is not merely an administrative task but a core leadership competency.</w:t>
      </w:r>
    </w:p>
    <w:p>
      <w:pPr>
        <w:pStyle w:val="BodyText"/>
      </w:pPr>
      <w:r>
        <w:t xml:space="preserve">The city’s rapid growth has placed additional pressure on educational infrastructure and resource allocation. Administrators must balance budget constraints with the demand for high-quality facilities while simultaneously addressing equity gaps among student cohorts.</w:t>
      </w:r>
    </w:p>
    <w:bookmarkEnd w:id="22"/>
    <w:bookmarkStart w:id="26" w:name="key-themes-in-administration"/>
    <w:p>
      <w:pPr>
        <w:pStyle w:val="Heading2"/>
      </w:pPr>
      <w:r>
        <w:t xml:space="preserve">Key Themes in Administration</w:t>
      </w:r>
    </w:p>
    <w:bookmarkStart w:id="23" w:name="Xe55505ce49b2b309a5da7302fa4440ee485cfdd"/>
    <w:p>
      <w:pPr>
        <w:pStyle w:val="Heading3"/>
      </w:pPr>
      <w:r>
        <w:t xml:space="preserve">1. Te Tiriti o Waitangi and Cultural Responsiveness</w:t>
      </w:r>
    </w:p>
    <w:p>
      <w:pPr>
        <w:pStyle w:val="FirstParagraph"/>
      </w:pPr>
      <w:r>
        <w:t xml:space="preserve">In</w:t>
      </w:r>
      <w:r>
        <w:t xml:space="preserve"> </w:t>
      </w:r>
      <w:r>
        <w:rPr>
          <w:bCs/>
          <w:b/>
        </w:rPr>
        <w:t xml:space="preserve">New Zealand Wellington</w:t>
      </w:r>
      <w:r>
        <w:t xml:space="preserve">, effective administration requires a deep commitment to bicultural partnership.</w:t>
      </w:r>
      <w:r>
        <w:t xml:space="preserve"> </w:t>
      </w:r>
      <w:r>
        <w:rPr>
          <w:bCs/>
          <w:b/>
        </w:rPr>
        <w:t xml:space="preserve">Education Administrator</w:t>
      </w:r>
      <w:r>
        <w:t xml:space="preserve"> </w:t>
      </w:r>
      <w:r>
        <w:t xml:space="preserve">roles involve ensuring that school policies actively support Māori achievement and identity. This includes facilitating authentic partnerships with local iwi (tribes) and integrating Māori perspectives into the curriculum at all administrative levels.</w:t>
      </w:r>
    </w:p>
    <w:bookmarkEnd w:id="23"/>
    <w:bookmarkStart w:id="24" w:name="Xbd23a574ea1ced939db978a7d259ce87c5f489a"/>
    <w:p>
      <w:pPr>
        <w:pStyle w:val="Heading3"/>
      </w:pPr>
      <w:r>
        <w:t xml:space="preserve">2. Digital Transformation and Infrastructure</w:t>
      </w:r>
    </w:p>
    <w:p>
      <w:pPr>
        <w:pStyle w:val="FirstParagraph"/>
      </w:pPr>
      <w:r>
        <w:t xml:space="preserve">The post-pandemic era has accelerated digital adoption in schools across Wellington. Administrators are now responsible for overseeing large-scale IT infrastructure projects, ensuring data privacy, and supporting teacher professional development in educational technology. This shift demands that an</w:t>
      </w:r>
      <w:r>
        <w:t xml:space="preserve"> </w:t>
      </w:r>
      <w:r>
        <w:rPr>
          <w:bCs/>
          <w:b/>
        </w:rPr>
        <w:t xml:space="preserve">Education Administrator</w:t>
      </w:r>
      <w:r>
        <w:t xml:space="preserve"> </w:t>
      </w:r>
      <w:r>
        <w:t xml:space="preserve">possesses not only managerial skills but also a strategic vision for digital pedagogy.</w:t>
      </w:r>
    </w:p>
    <w:bookmarkEnd w:id="24"/>
    <w:bookmarkStart w:id="25" w:name="wellbeing-and-mental-health-support"/>
    <w:p>
      <w:pPr>
        <w:pStyle w:val="Heading3"/>
      </w:pPr>
      <w:r>
        <w:t xml:space="preserve">3. Wellbeing and Mental Health Support</w:t>
      </w:r>
    </w:p>
    <w:p>
      <w:pPr>
        <w:pStyle w:val="FirstParagraph"/>
      </w:pPr>
      <w:r>
        <w:t xml:space="preserve">Mental health has emerged as a critical priority for educational institutions in</w:t>
      </w:r>
      <w:r>
        <w:t xml:space="preserve"> </w:t>
      </w:r>
      <w:r>
        <w:rPr>
          <w:bCs/>
          <w:b/>
        </w:rPr>
        <w:t xml:space="preserve">New Zealand Wellington</w:t>
      </w:r>
      <w:r>
        <w:t xml:space="preserve">. Administrators play a crucial role in allocating resources for counseling services, creating safe school environments, and collaborating with external health providers. The holistic wellbeing of both staff and students is now a central metric of administrative success.</w:t>
      </w:r>
    </w:p>
    <w:bookmarkEnd w:id="25"/>
    <w:bookmarkEnd w:id="26"/>
    <w:bookmarkStart w:id="27" w:name="methodology"/>
    <w:p>
      <w:pPr>
        <w:pStyle w:val="Heading2"/>
      </w:pPr>
      <w:r>
        <w:t xml:space="preserve">Methodology</w:t>
      </w:r>
    </w:p>
    <w:p>
      <w:pPr>
        <w:pStyle w:val="FirstParagraph"/>
      </w:pPr>
      <w:r>
        <w:t xml:space="preserve">This presentation draws upon a mixed-methods approach, combining quantitative analysis of school performance data from Wellington Region schools with qualitative interviews conducted with over fifty</w:t>
      </w:r>
      <w:r>
        <w:t xml:space="preserve"> </w:t>
      </w:r>
      <w:r>
        <w:rPr>
          <w:bCs/>
          <w:b/>
        </w:rPr>
        <w:t xml:space="preserve">Education Administrator</w:t>
      </w:r>
      <w:r>
        <w:t xml:space="preserve"> </w:t>
      </w:r>
      <w:r>
        <w:t xml:space="preserve">professionals. Case studies from three distinct types of schools in</w:t>
      </w:r>
      <w:r>
        <w:t xml:space="preserve"> </w:t>
      </w:r>
      <w:r>
        <w:rPr>
          <w:bCs/>
          <w:b/>
        </w:rPr>
        <w:t xml:space="preserve">New Zealand Wellington</w:t>
      </w:r>
      <w:r>
        <w:t xml:space="preserve">—a decile 1 urban school, a rural contributing primary school, and a metropolitan secondary college—are utilized to illustrate best practices and challenges.</w:t>
      </w:r>
    </w:p>
    <w:bookmarkEnd w:id="27"/>
    <w:bookmarkStart w:id="28" w:name="recommendations-for-practice"/>
    <w:p>
      <w:pPr>
        <w:pStyle w:val="Heading2"/>
      </w:pPr>
      <w:r>
        <w:t xml:space="preserve">Recommendations for Practice</w:t>
      </w:r>
    </w:p>
    <w:p>
      <w:pPr>
        <w:numPr>
          <w:ilvl w:val="0"/>
          <w:numId w:val="1001"/>
        </w:numPr>
        <w:pStyle w:val="Compact"/>
      </w:pPr>
      <w:r>
        <w:rPr>
          <w:bCs/>
          <w:b/>
        </w:rPr>
        <w:t xml:space="preserve">Enhance Community Engagement:</w:t>
      </w:r>
      <w:r>
        <w:t xml:space="preserve"> </w:t>
      </w:r>
      <w:r>
        <w:t xml:space="preserve">Administrators should establish robust feedback loops with parents, local businesses, and iwi to ensure school policies reflect community needs in</w:t>
      </w:r>
      <w:r>
        <w:t xml:space="preserve"> </w:t>
      </w:r>
      <w:r>
        <w:rPr>
          <w:bCs/>
          <w:b/>
        </w:rPr>
        <w:t xml:space="preserve">New Zealand Wellington</w:t>
      </w:r>
      <w:r>
        <w:t xml:space="preserve">.</w:t>
      </w:r>
    </w:p>
    <w:p>
      <w:pPr>
        <w:numPr>
          <w:ilvl w:val="0"/>
          <w:numId w:val="1001"/>
        </w:numPr>
        <w:pStyle w:val="Compact"/>
      </w:pPr>
      <w:r>
        <w:rPr>
          <w:bCs/>
          <w:b/>
        </w:rPr>
        <w:t xml:space="preserve">Prioritize Professional Development:</w:t>
      </w:r>
      <w:r>
        <w:t xml:space="preserve"> </w:t>
      </w:r>
      <w:r>
        <w:t xml:space="preserve">Invest in continuous learning for staff regarding cultural competency, digital literacy, and trauma-informed practices.</w:t>
      </w:r>
    </w:p>
    <w:p>
      <w:pPr>
        <w:numPr>
          <w:ilvl w:val="0"/>
          <w:numId w:val="1001"/>
        </w:numPr>
        <w:pStyle w:val="Compact"/>
      </w:pPr>
      <w:r>
        <w:rPr>
          <w:bCs/>
          <w:b/>
        </w:rPr>
        <w:t xml:space="preserve">Leverage Data for Equity:</w:t>
      </w:r>
      <w:r>
        <w:t xml:space="preserve"> </w:t>
      </w:r>
      <w:r>
        <w:t xml:space="preserve">Use data analytics to identify underperforming student groups and direct resources strategically to close achievement gaps.</w:t>
      </w:r>
    </w:p>
    <w:p>
      <w:pPr>
        <w:numPr>
          <w:ilvl w:val="0"/>
          <w:numId w:val="1001"/>
        </w:numPr>
        <w:pStyle w:val="Compact"/>
      </w:pPr>
      <w:r>
        <w:rPr>
          <w:bCs/>
          <w:b/>
        </w:rPr>
        <w:t xml:space="preserve">Foster Collaborative Leadership:</w:t>
      </w:r>
      <w:r>
        <w:t xml:space="preserve"> </w:t>
      </w:r>
      <w:r>
        <w:t xml:space="preserve">Move away from hierarchical structures towards distributed leadership models that empower teachers and support staff within the educational team.</w:t>
      </w:r>
    </w:p>
    <w:bookmarkEnd w:id="28"/>
    <w:bookmarkStart w:id="29" w:name="conclusion"/>
    <w:p>
      <w:pPr>
        <w:pStyle w:val="Heading2"/>
      </w:pPr>
      <w:r>
        <w:t xml:space="preserve">Conclusion</w:t>
      </w:r>
    </w:p>
    <w:p>
      <w:pPr>
        <w:pStyle w:val="FirstParagraph"/>
      </w:pPr>
      <w:r>
        <w:t xml:space="preserve">The landscape of educational leadership in</w:t>
      </w:r>
      <w:r>
        <w:t xml:space="preserve"> </w:t>
      </w:r>
      <w:r>
        <w:rPr>
          <w:bCs/>
          <w:b/>
        </w:rPr>
        <w:t xml:space="preserve">New Zealand Wellington</w:t>
      </w:r>
      <w:r>
        <w:t xml:space="preserve"> </w:t>
      </w:r>
      <w:r>
        <w:t xml:space="preserve">is complex and ever-changing. Success for an</w:t>
      </w:r>
      <w:r>
        <w:t xml:space="preserve"> </w:t>
      </w:r>
      <w:r>
        <w:rPr>
          <w:bCs/>
          <w:b/>
        </w:rPr>
        <w:t xml:space="preserve">Education Administrator</w:t>
      </w:r>
      <w:r>
        <w:t xml:space="preserve"> </w:t>
      </w:r>
      <w:r>
        <w:t xml:space="preserve">depends on their ability to adapt to these changes while maintaining a steadfast focus on equity, cultural responsiveness, and student wellbeing. By embracing strategic innovation and collaborative partnerships, administrators can drive meaningful improvements in educational outcomes for all learners in the region.</w:t>
      </w:r>
    </w:p>
    <w:bookmarkEnd w:id="29"/>
    <w:p>
      <w:pPr>
        <w:pStyle w:val="BodyText"/>
      </w:pPr>
      <w:r>
        <w:rPr>
          <w:bCs/>
          <w:b/>
        </w:rPr>
        <w:t xml:space="preserve">Acknowledgments:</w:t>
      </w:r>
      <w:r>
        <w:t xml:space="preserve"> </w:t>
      </w:r>
      <w:r>
        <w:t xml:space="preserve">We thank the Ministry of Education New Zealand Wellington region for their data support.</w:t>
      </w:r>
    </w:p>
    <w:p>
      <w:pPr>
        <w:pStyle w:val="BodyText"/>
      </w:pPr>
      <w:r>
        <w:rPr>
          <w:bCs/>
          <w:b/>
        </w:rPr>
        <w:t xml:space="preserve">Contact:</w:t>
      </w:r>
      <w:r>
        <w:t xml:space="preserve"> </w:t>
      </w:r>
      <w:r>
        <w:t xml:space="preserve">alison.thomson@wellington.edu.nz</w:t>
      </w:r>
    </w:p>
    <w:p>
      <w:pPr>
        <w:pStyle w:val="BodyText"/>
      </w:pPr>
      <w:r>
        <w:rPr>
          <w:bCs/>
          <w:b/>
        </w:rPr>
        <w:t xml:space="preserve">QR Code Placeholder:</w:t>
      </w:r>
      <w:r>
        <w:t xml:space="preserve"> </w:t>
      </w:r>
      <w:r>
        <w:t xml:space="preserve">[Scan for full paper]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Education Administrator in New Zealand Wellington</dc:title>
  <dc:creator/>
  <dc:language>en</dc:language>
  <cp:keywords/>
  <dcterms:created xsi:type="dcterms:W3CDTF">2026-07-29T21:32:54Z</dcterms:created>
  <dcterms:modified xsi:type="dcterms:W3CDTF">2026-07-29T21:32:54Z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