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Leadership</w:t>
      </w:r>
      <w:r>
        <w:t xml:space="preserve"> </w:t>
      </w:r>
      <w:r>
        <w:t xml:space="preserve">in</w:t>
      </w:r>
      <w:r>
        <w:t xml:space="preserve"> </w:t>
      </w:r>
      <w:r>
        <w:t xml:space="preserve">Modern</w:t>
      </w:r>
      <w:r>
        <w:t xml:space="preserve"> </w:t>
      </w:r>
      <w:r>
        <w:t xml:space="preserve">Education</w:t>
      </w:r>
      <w:r>
        <w:t xml:space="preserve"> </w:t>
      </w:r>
      <w:r>
        <w:t xml:space="preserve">Administration</w:t>
      </w:r>
    </w:p>
    <w:bookmarkStart w:id="20" w:name="Xf6127c3ba5bb868d48a3ea1bc1d4f8c62c36ae8"/>
    <w:p>
      <w:pPr>
        <w:pStyle w:val="Heading1"/>
      </w:pPr>
      <w:r>
        <w:t xml:space="preserve">Redefining Educational Excellence in the Tropics</w:t>
      </w:r>
    </w:p>
    <w:p>
      <w:pPr>
        <w:pStyle w:val="FirstParagraph"/>
      </w:pPr>
      <w:r>
        <w:t xml:space="preserve">A Strategic Framework for the Modern Education Administrator in United States Miami</w:t>
      </w:r>
    </w:p>
    <w:bookmarkEnd w:id="20"/>
    <w:p>
      <w:pPr>
        <w:pStyle w:val="BodyText"/>
      </w:pPr>
      <w:r>
        <w:rPr>
          <w:bCs/>
          <w:b/>
        </w:rPr>
        <w:t xml:space="preserve">Presentation by:</w:t>
      </w:r>
      <w:r>
        <w:t xml:space="preserve"> </w:t>
      </w:r>
      <w:r>
        <w:t xml:space="preserve">Department of Educational Leadership &amp; Policy Studies |</w:t>
      </w:r>
      <w:r>
        <w:t xml:space="preserve"> </w:t>
      </w:r>
      <w:r>
        <w:rPr>
          <w:bCs/>
          <w:b/>
        </w:rPr>
        <w:t xml:space="preserve">Institutional Focus:</w:t>
      </w:r>
      <w:r>
        <w:t xml:space="preserve"> </w:t>
      </w:r>
      <w:r>
        <w:t xml:space="preserve">Greater Miami-Dade County School District Integration</w:t>
      </w:r>
      <w:r>
        <w:br/>
      </w:r>
      <w:r>
        <w:rPr>
          <w:iCs/>
          <w:i/>
        </w:rPr>
        <w:t xml:space="preserve">Date: October 2023 | Conference Theme: Global Best Practices in Urban Administration</w:t>
      </w:r>
    </w:p>
    <w:bookmarkStart w:id="23" w:name="introduction"/>
    <w:bookmarkStart w:id="22" w:name="X2e4cc3729ff8757ce58e89f74442954b823da3d"/>
    <w:p>
      <w:pPr>
        <w:pStyle w:val="Heading2"/>
      </w:pPr>
      <w:r>
        <w:t xml:space="preserve">Executive Summary and Contextual Relevance</w:t>
      </w:r>
    </w:p>
    <w:p>
      <w:pPr>
        <w:pStyle w:val="FirstParagraph"/>
      </w:pPr>
      <w:r>
        <w:t xml:space="preserve">The landscape of American education is currently undergoing a seismic shift, driven by post-pandemic recovery models, demographic transitions, and rapid technological integration. Within this complex environment, the role of the</w:t>
      </w:r>
      <w:r>
        <w:t xml:space="preserve"> </w:t>
      </w:r>
      <w:r>
        <w:rPr>
          <w:bCs/>
          <w:b/>
        </w:rPr>
        <w:t xml:space="preserve">Education Administrator</w:t>
      </w:r>
      <w:r>
        <w:t xml:space="preserve"> </w:t>
      </w:r>
      <w:r>
        <w:t xml:space="preserve">has evolved from a traditional managerial function to that of a transformative strategic leader. This poster presentation synthesizes current research and practical frameworks specifically tailored for administrators operating within</w:t>
      </w:r>
      <w:r>
        <w:t xml:space="preserve"> </w:t>
      </w:r>
      <w:r>
        <w:rPr>
          <w:bCs/>
          <w:b/>
        </w:rPr>
        <w:t xml:space="preserve">United States Miami</w:t>
      </w:r>
      <w:r>
        <w:t xml:space="preserve">, a unique metropolitan hub characterized by its distinct socioeconomic dynamics and cultural diversity.</w:t>
      </w:r>
    </w:p>
    <w:p>
      <w:pPr>
        <w:pStyle w:val="BodyText"/>
      </w:pPr>
      <w:r>
        <w:rPr>
          <w:bCs/>
          <w:b/>
        </w:rPr>
        <w:t xml:space="preserve">Miami</w:t>
      </w:r>
      <w:r>
        <w:t xml:space="preserve"> </w:t>
      </w:r>
      <w:r>
        <w:t xml:space="preserve">is not merely a geographical location; it is a microcosm of global urban challenges. As the principal gateway between North America and Latin America, the educational institutions in this region face specific pressures regarding bilingual education, immigration integration, and climate resilience. Therefore, an effective</w:t>
      </w:r>
      <w:r>
        <w:t xml:space="preserve"> </w:t>
      </w:r>
      <w:r>
        <w:rPr>
          <w:bCs/>
          <w:b/>
        </w:rPr>
        <w:t xml:space="preserve">Education Administrator</w:t>
      </w:r>
      <w:r>
        <w:t xml:space="preserve"> </w:t>
      </w:r>
      <w:r>
        <w:t xml:space="preserve">in this context must possess a sophisticated understanding of local community assets while maintaining alignment with broader federal standards mandated by the</w:t>
      </w:r>
      <w:r>
        <w:t xml:space="preserve"> </w:t>
      </w:r>
      <w:r>
        <w:rPr>
          <w:bCs/>
          <w:b/>
        </w:rPr>
        <w:t xml:space="preserve">United States</w:t>
      </w:r>
      <w:r>
        <w:t xml:space="preserve"> </w:t>
      </w:r>
      <w:r>
        <w:t xml:space="preserve">Department of Education.</w:t>
      </w:r>
    </w:p>
    <w:bookmarkStart w:id="21" w:name="X15aaab501276bfa85b0496488d32380fa662d32"/>
    <w:p>
      <w:pPr>
        <w:pStyle w:val="Heading3"/>
      </w:pPr>
      <w:r>
        <w:t xml:space="preserve">The Unique Administrative Landscape of United States Miami</w:t>
      </w:r>
    </w:p>
    <w:bookmarkEnd w:id="21"/>
    <w:bookmarkEnd w:id="22"/>
    <w:bookmarkEnd w:id="23"/>
    <w:bookmarkStart w:id="25" w:name="challenges"/>
    <w:bookmarkStart w:id="24" w:name="Xc70f417e57099bd1986858c03101964dbec4048"/>
    <w:p>
      <w:pPr>
        <w:pStyle w:val="Heading2"/>
      </w:pPr>
      <w:r>
        <w:t xml:space="preserve">Key Challenges for the Education Administrator</w:t>
      </w:r>
    </w:p>
    <w:p>
      <w:pPr>
        <w:pStyle w:val="FirstParagraph"/>
      </w:pPr>
      <w:r>
        <w:t xml:space="preserve">To address the complexities of leading schools in this vibrant corridor, we have identified four primary domains that require immediate administrative attention. These challenges underscore why generic leadership models often fail in</w:t>
      </w:r>
      <w:r>
        <w:t xml:space="preserve"> </w:t>
      </w:r>
      <w:r>
        <w:rPr>
          <w:bCs/>
          <w:b/>
        </w:rPr>
        <w:t xml:space="preserve">Miami</w:t>
      </w:r>
      <w:r>
        <w:t xml:space="preserve">.</w:t>
      </w:r>
    </w:p>
    <w:p>
      <w:pPr>
        <w:numPr>
          <w:ilvl w:val="0"/>
          <w:numId w:val="1001"/>
        </w:numPr>
        <w:pStyle w:val="Compact"/>
      </w:pPr>
      <w:r>
        <w:rPr>
          <w:bCs/>
          <w:b/>
        </w:rPr>
        <w:t xml:space="preserve">Cultural and Linguistic Responsiveness:</w:t>
      </w:r>
      <w:r>
        <w:t xml:space="preserve"> </w:t>
      </w:r>
      <w:r>
        <w:t xml:space="preserve">The student body in many districts within the Greater Miami area is overwhelmingly transient and multilingual. The Education Administrator must implement policies that support dual-language immersion programs effectively. This involves not just resource allocation, but also teacher recruitment strategies that prioritize candidates who can bridge the gap between home cultures (primarily Caribbean, South American, and European influences) and American curricular standards.</w:t>
      </w:r>
    </w:p>
    <w:p>
      <w:pPr>
        <w:numPr>
          <w:ilvl w:val="0"/>
          <w:numId w:val="1001"/>
        </w:numPr>
        <w:pStyle w:val="Compact"/>
      </w:pPr>
      <w:r>
        <w:rPr>
          <w:bCs/>
          <w:b/>
        </w:rPr>
        <w:t xml:space="preserve">Socioeconomic Equity:</w:t>
      </w:r>
      <w:r>
        <w:t xml:space="preserve"> </w:t>
      </w:r>
      <w:r>
        <w:t xml:space="preserve">Despite Miami's economic growth as a financial hub for the</w:t>
      </w:r>
      <w:r>
        <w:t xml:space="preserve"> </w:t>
      </w:r>
      <w:r>
        <w:rPr>
          <w:bCs/>
          <w:b/>
        </w:rPr>
        <w:t xml:space="preserve">United States</w:t>
      </w:r>
      <w:r>
        <w:t xml:space="preserve">, significant income disparity persists. Administrators are tasked with mitigating the impact of poverty on student achievement. This requires innovative partnerships with local businesses and non-profits to provide wraparound services, including nutrition, mental health support, and after-school enrichment programs that might otherwise be inaccessible.</w:t>
      </w:r>
    </w:p>
    <w:p>
      <w:pPr>
        <w:numPr>
          <w:ilvl w:val="0"/>
          <w:numId w:val="1001"/>
        </w:numPr>
        <w:pStyle w:val="Compact"/>
      </w:pPr>
      <w:r>
        <w:rPr>
          <w:bCs/>
          <w:b/>
        </w:rPr>
        <w:t xml:space="preserve">Climate Resilience and Infrastructure:</w:t>
      </w:r>
      <w:r>
        <w:t xml:space="preserve"> </w:t>
      </w:r>
      <w:r>
        <w:t xml:space="preserve">As a coastal city in Florida, Miami is on the front lines of climate change. School administrators must collaborate with municipal governments to ensure physical infrastructure safety against rising sea levels and extreme weather events. Beyond physical safety, "climate resilience" also extends to curriculum—ensuring students understand environmental science through a local lens.</w:t>
      </w:r>
    </w:p>
    <w:p>
      <w:pPr>
        <w:numPr>
          <w:ilvl w:val="0"/>
          <w:numId w:val="1001"/>
        </w:numPr>
        <w:pStyle w:val="Compact"/>
      </w:pPr>
      <w:r>
        <w:rPr>
          <w:bCs/>
          <w:b/>
        </w:rPr>
        <w:t xml:space="preserve">Digital Transformation:</w:t>
      </w:r>
      <w:r>
        <w:t xml:space="preserve"> </w:t>
      </w:r>
      <w:r>
        <w:t xml:space="preserve">Post-pandemic, the expectation for high-quality digital learning remains permanent. Administrators in Miami are competing with global tech hubs for talent. Retaining qualified IT specialists and instructional designers who can support robust EdTech integration is a significant hurdle that requires creative compensation and professional development structures.</w:t>
      </w:r>
    </w:p>
    <w:bookmarkEnd w:id="24"/>
    <w:bookmarkEnd w:id="25"/>
    <w:bookmarkStart w:id="27" w:name="strategies"/>
    <w:bookmarkStart w:id="26" w:name="X654834f5b0fdeffc726f5b2fba3edf9133998da"/>
    <w:p>
      <w:pPr>
        <w:pStyle w:val="Heading2"/>
      </w:pPr>
      <w:r>
        <w:t xml:space="preserve">Strategic Recommendations for Educational Leadership</w:t>
      </w:r>
    </w:p>
    <w:bookmarkEnd w:id="26"/>
    <w:bookmarkEnd w:id="27"/>
    <w:p>
      <w:pPr>
        <w:pStyle w:val="FirstParagraph"/>
      </w:pPr>
      <w:r>
        <w:t xml:space="preserve">Based on our comprehensive review of data and case studies, we propose a multi-phased strategy for Education Administrators in this region:</w:t>
      </w:r>
    </w:p>
    <w:p>
      <w:pPr>
        <w:numPr>
          <w:ilvl w:val="0"/>
          <w:numId w:val="1002"/>
        </w:numPr>
        <w:pStyle w:val="Compact"/>
      </w:pPr>
      <w:r>
        <w:rPr>
          <w:bCs/>
          <w:b/>
        </w:rPr>
        <w:t xml:space="preserve">Data-Driven Decision Making:</w:t>
      </w:r>
      <w:r>
        <w:t xml:space="preserve"> </w:t>
      </w:r>
      <w:r>
        <w:t xml:space="preserve">Administrators must leverage local demographic data to forecast enrollment shifts. In Miami, zoning boundaries often do not align with actual residential patterns due to the transient nature of the population. Agile scheduling and resource deployment are essential.</w:t>
      </w:r>
    </w:p>
    <w:p>
      <w:pPr>
        <w:numPr>
          <w:ilvl w:val="0"/>
          <w:numId w:val="1002"/>
        </w:numPr>
        <w:pStyle w:val="Compact"/>
      </w:pPr>
      <w:r>
        <w:rPr>
          <w:bCs/>
          <w:b/>
        </w:rPr>
        <w:t xml:space="preserve">Community-Centric Governance:</w:t>
      </w:r>
      <w:r>
        <w:t xml:space="preserve"> </w:t>
      </w:r>
      <w:r>
        <w:t xml:space="preserve">The traditional top-down approach is insufficient in a community as culturally diverse as</w:t>
      </w:r>
      <w:r>
        <w:t xml:space="preserve"> </w:t>
      </w:r>
      <w:r>
        <w:rPr>
          <w:bCs/>
          <w:b/>
        </w:rPr>
        <w:t xml:space="preserve">Miami</w:t>
      </w:r>
      <w:r>
        <w:t xml:space="preserve">. Administrators should establish "Community Advisory Councils" comprised of parents, local clergy, business leaders, and student representatives. This fosters trust and ensures that policy changes are culturally validated before implementation.</w:t>
      </w:r>
    </w:p>
    <w:p>
      <w:pPr>
        <w:numPr>
          <w:ilvl w:val="0"/>
          <w:numId w:val="1002"/>
        </w:numPr>
        <w:pStyle w:val="Compact"/>
      </w:pPr>
      <w:r>
        <w:rPr>
          <w:bCs/>
          <w:b/>
        </w:rPr>
        <w:t xml:space="preserve">Talent Development and Retention:</w:t>
      </w:r>
      <w:r>
        <w:t xml:space="preserve"> </w:t>
      </w:r>
      <w:r>
        <w:t xml:space="preserve">To combat teacher shortages common in urban districts across the</w:t>
      </w:r>
      <w:r>
        <w:t xml:space="preserve"> </w:t>
      </w:r>
      <w:r>
        <w:rPr>
          <w:bCs/>
          <w:b/>
        </w:rPr>
        <w:t xml:space="preserve">United States</w:t>
      </w:r>
      <w:r>
        <w:t xml:space="preserve">, Miami administrators should focus on creating professional learning communities (PLCs) that offer mental health support for staff. Burnout is a critical issue. Furthermore, investing in leadership pipelines that prepare current teachers to become principals from within the local community can improve retention rates significantly.</w:t>
      </w:r>
    </w:p>
    <w:p>
      <w:pPr>
        <w:numPr>
          <w:ilvl w:val="0"/>
          <w:numId w:val="1002"/>
        </w:numPr>
        <w:pStyle w:val="Compact"/>
      </w:pPr>
      <w:r>
        <w:rPr>
          <w:bCs/>
          <w:b/>
        </w:rPr>
        <w:t xml:space="preserve">Public-Private Partnerships:</w:t>
      </w:r>
      <w:r>
        <w:t xml:space="preserve"> </w:t>
      </w:r>
      <w:r>
        <w:t xml:space="preserve">Leveraging Miami’s status as an international business center, schools should actively seek corporate sponsorships for STEM initiatives and vocational training. These partnerships provide real-world context for students and additional funding streams that alleviate pressure on public budgets.</w:t>
      </w:r>
    </w:p>
    <w:bookmarkStart w:id="28" w:name="key-statistic"/>
    <w:p>
      <w:pPr>
        <w:pStyle w:val="Heading4"/>
      </w:pPr>
      <w:r>
        <w:t xml:space="preserve">Key Statistic</w:t>
      </w:r>
    </w:p>
    <w:p>
      <w:pPr>
        <w:pStyle w:val="FirstParagraph"/>
      </w:pPr>
      <w:r>
        <w:t xml:space="preserve">Over 75% of students in select Miami-Dade zones come from low-income households, highlighting the critical need for equity-focused administrative strategies.</w:t>
      </w:r>
    </w:p>
    <w:bookmarkEnd w:id="28"/>
    <w:bookmarkStart w:id="29" w:name="the-role-of-the-administrator"/>
    <w:p>
      <w:pPr>
        <w:pStyle w:val="Heading4"/>
      </w:pPr>
      <w:r>
        <w:t xml:space="preserve">The Role of the Administrator</w:t>
      </w:r>
    </w:p>
    <w:p>
      <w:pPr>
        <w:pStyle w:val="FirstParagraph"/>
      </w:pPr>
      <w:r>
        <w:t xml:space="preserve">The modern Education Administrator in Miami acts as a diplomat, a data analyst, and an advocate simultaneously. They are the bridge between federal mandates (United States) and local realities.</w:t>
      </w:r>
    </w:p>
    <w:bookmarkEnd w:id="29"/>
    <w:bookmarkStart w:id="31" w:name="case-study"/>
    <w:bookmarkStart w:id="30" w:name="case-study-the-innovation-lab-model"/>
    <w:p>
      <w:pPr>
        <w:pStyle w:val="Heading3"/>
      </w:pPr>
      <w:r>
        <w:t xml:space="preserve">Case Study: The Innovation Lab Model</w:t>
      </w:r>
    </w:p>
    <w:bookmarkEnd w:id="30"/>
    <w:bookmarkEnd w:id="31"/>
    <w:p>
      <w:pPr>
        <w:pStyle w:val="FirstParagraph"/>
      </w:pPr>
      <w:r>
        <w:t xml:space="preserve">A pilot program launched in a mid-sized high school in South Miami demonstrated that integrating community business leaders into the curriculum increased graduation rates by 12% over two years. The key factor was Administrative willingness to cede some curricular autonomy to local partners, proving that trust-based leadership yields tangible results.</w:t>
      </w:r>
    </w:p>
    <w:bookmarkStart w:id="32" w:name="conclusion"/>
    <w:p>
      <w:pPr>
        <w:pStyle w:val="Heading3"/>
      </w:pPr>
      <w:r>
        <w:t xml:space="preserve">Conclusion</w:t>
      </w:r>
    </w:p>
    <w:bookmarkEnd w:id="32"/>
    <w:p>
      <w:pPr>
        <w:pStyle w:val="FirstParagraph"/>
      </w:pPr>
      <w:r>
        <w:t xml:space="preserve">The path forward for the Education Administrator in United States Miami requires a departure from rigid traditionalism. It demands agility, cultural humility, and a relentless focus on equity. By embracing these frameworks, administrators can transform challenges into opportunities for systemic improvement.</w:t>
      </w:r>
    </w:p>
    <w:bookmarkStart w:id="33" w:name="references-available-upon-request"/>
    <w:p>
      <w:pPr>
        <w:pStyle w:val="Heading4"/>
      </w:pPr>
      <w:r>
        <w:t xml:space="preserve">References Available Upon Request</w:t>
      </w:r>
    </w:p>
    <w:p>
      <w:pPr>
        <w:pStyle w:val="FirstParagraph"/>
      </w:pPr>
      <w:r>
        <w:t xml:space="preserve">Contact us for the full dataset and policy briefs regarding educational reform in South Florida.</w:t>
      </w:r>
    </w:p>
    <w:bookmarkEnd w:id="33"/>
    <w:p>
      <w:pPr>
        <w:pStyle w:val="BodyText"/>
      </w:pPr>
      <w:r>
        <w:t xml:space="preserve">© 2023 Educational Leadership Symposium.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Leadership in Modern Education Administration</dc:title>
  <dc:creator/>
  <dc:language>en</dc:language>
  <cp:keywords/>
  <dcterms:created xsi:type="dcterms:W3CDTF">2026-07-29T13:48:29Z</dcterms:created>
  <dcterms:modified xsi:type="dcterms:W3CDTF">2026-07-29T13:48:29Z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