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Strategic</w:t>
      </w:r>
      <w:r>
        <w:t xml:space="preserve"> </w:t>
      </w:r>
      <w:r>
        <w:t xml:space="preserve">Leadership</w:t>
      </w:r>
      <w:r>
        <w:t xml:space="preserve"> </w:t>
      </w:r>
      <w:r>
        <w:t xml:space="preserve">in</w:t>
      </w:r>
      <w:r>
        <w:t xml:space="preserve"> </w:t>
      </w:r>
      <w:r>
        <w:t xml:space="preserve">Education</w:t>
      </w:r>
      <w:r>
        <w:t xml:space="preserve"> </w:t>
      </w:r>
      <w:r>
        <w:t xml:space="preserve">Administration</w:t>
      </w:r>
    </w:p>
    <w:bookmarkStart w:id="20" w:name="X09058a05602ac73f6222f375b81c08744e3b8b0"/>
    <w:p>
      <w:pPr>
        <w:pStyle w:val="Heading1"/>
      </w:pPr>
      <w:r>
        <w:t xml:space="preserve">Navigating Complexity: The Modern Education Administrator in Vietnam Ho Chi Minh City</w:t>
      </w:r>
    </w:p>
    <w:p>
      <w:pPr>
        <w:pStyle w:val="FirstParagraph"/>
      </w:pPr>
      <w:r>
        <w:t xml:space="preserve">Bridging Global Standards with Local Cultural Realities for Sustainable Educational Growth</w:t>
      </w:r>
    </w:p>
    <w:p>
      <w:pPr>
        <w:pStyle w:val="BodyText"/>
      </w:pPr>
      <w:r>
        <w:rPr>
          <w:bCs/>
          <w:b/>
        </w:rPr>
        <w:t xml:space="preserve">Presented by:</w:t>
      </w:r>
      <w:r>
        <w:t xml:space="preserve"> </w:t>
      </w:r>
      <w:r>
        <w:t xml:space="preserve">Dr. Nguyen Van A &amp; Dr. Sarah Johnson</w:t>
      </w:r>
      <w:r>
        <w:br/>
      </w:r>
      <w:r>
        <w:rPr>
          <w:iCs/>
          <w:i/>
        </w:rPr>
        <w:t xml:space="preserve">Institutional Affiliations: University of Economics Ho Chi Minh City; International Education Institute</w:t>
      </w:r>
      <w:r>
        <w:br/>
      </w:r>
      <w:r>
        <w:br/>
      </w:r>
      <w:r>
        <w:br/>
      </w:r>
    </w:p>
    <w:bookmarkEnd w:id="20"/>
    <w:bookmarkStart w:id="22" w:name="introduction"/>
    <w:bookmarkStart w:id="21" w:name="introduction-and-contextual-background"/>
    <w:p>
      <w:pPr>
        <w:pStyle w:val="Heading2"/>
      </w:pPr>
      <w:r>
        <w:t xml:space="preserve">1. Introduction and Contextual Background</w:t>
      </w:r>
    </w:p>
    <w:p>
      <w:pPr>
        <w:pStyle w:val="FirstParagraph"/>
      </w:pPr>
      <w:r>
        <w:t xml:space="preserve">The role of the</w:t>
      </w:r>
      <w:r>
        <w:t xml:space="preserve"> </w:t>
      </w:r>
      <w:r>
        <w:rPr>
          <w:bCs/>
          <w:b/>
        </w:rPr>
        <w:t xml:space="preserve">Education Administrator</w:t>
      </w:r>
      <w:r>
        <w:t xml:space="preserve"> </w:t>
      </w:r>
      <w:r>
        <w:t xml:space="preserve">has undergone a profound transformation over the last decade. In developing nations, administrators are no longer merely custodians of bureaucratic procedure; they are strategic architects responsible for navigating complex socio-economic landscapes. This poster presentation focuses specifically on the unique challenges and opportunities facing education leaders within</w:t>
      </w:r>
      <w:r>
        <w:t xml:space="preserve"> </w:t>
      </w:r>
      <w:r>
        <w:rPr>
          <w:bCs/>
          <w:b/>
        </w:rPr>
        <w:t xml:space="preserve">Vietnam Ho Chi Minh City</w:t>
      </w:r>
      <w:r>
        <w:t xml:space="preserve">, a metropolitan hub characterized by rapid urbanization, economic dynamism, and intense educational competition.</w:t>
      </w:r>
    </w:p>
    <w:p>
      <w:pPr>
        <w:pStyle w:val="BodyText"/>
      </w:pPr>
      <w:r>
        <w:rPr>
          <w:bCs/>
          <w:b/>
        </w:rPr>
        <w:t xml:space="preserve">Vietnam Ho Chi Minh City</w:t>
      </w:r>
      <w:r>
        <w:t xml:space="preserve"> </w:t>
      </w:r>
      <w:r>
        <w:t xml:space="preserve">serves as an ideal case study for modern administrative theory. As the economic engine of Vietnam, the city attracts significant foreign investment and expatriate populations, driving a demand for high-quality bilingual education. Simultaneously, it houses thousands of public institutions striving to improve standards amid resource constraints. The</w:t>
      </w:r>
      <w:r>
        <w:t xml:space="preserve"> </w:t>
      </w:r>
      <w:r>
        <w:rPr>
          <w:bCs/>
          <w:b/>
        </w:rPr>
        <w:t xml:space="preserve">Education Administrator</w:t>
      </w:r>
      <w:r>
        <w:t xml:space="preserve"> </w:t>
      </w:r>
      <w:r>
        <w:t xml:space="preserve">in this context must balance two diverging mandates: maintaining equitable access to basic education while fostering excellence in competitive private and international sectors.</w:t>
      </w:r>
    </w:p>
    <w:p>
      <w:pPr>
        <w:pStyle w:val="BodyText"/>
      </w:pPr>
      <w:r>
        <w:t xml:space="preserve">This research explores how administrators can leverage technology, cultural intelligence, and policy advocacy to create resilient educational ecosystems that serve diverse student demographics effectively.</w:t>
      </w:r>
    </w:p>
    <w:bookmarkEnd w:id="21"/>
    <w:bookmarkEnd w:id="22"/>
    <w:bookmarkStart w:id="24" w:name="challenges"/>
    <w:bookmarkStart w:id="23" w:name="key-challenges-facing-administrators"/>
    <w:p>
      <w:pPr>
        <w:pStyle w:val="Heading2"/>
      </w:pPr>
      <w:r>
        <w:t xml:space="preserve">2. Key Challenges Facing Administrators</w:t>
      </w:r>
    </w:p>
    <w:p>
      <w:pPr>
        <w:pStyle w:val="FirstParagraph"/>
      </w:pPr>
      <w:r>
        <w:t xml:space="preserve">The landscape of education in Vietnam is fraught with systemic hurdles that require sophisticated management strategies. Our analysis identifies three primary pillars of challenge:</w:t>
      </w:r>
    </w:p>
    <w:p>
      <w:pPr>
        <w:numPr>
          <w:ilvl w:val="0"/>
          <w:numId w:val="1001"/>
        </w:numPr>
        <w:pStyle w:val="Compact"/>
      </w:pPr>
      <w:r>
        <w:rPr>
          <w:bCs/>
          <w:b/>
        </w:rPr>
        <w:t xml:space="preserve">Rapid Policy Evolution and Implementation:</w:t>
      </w:r>
      <w:r>
        <w:t xml:space="preserve"> </w:t>
      </w:r>
      <w:r>
        <w:t xml:space="preserve">The Ministry of Education and Training (MOET) frequently updates national curricula, including the recent shift toward competency-based education. Administrators must interpret these abstract policy directives and translate them into actionable operational plans for teachers who may be resistant to change due to traditional pedagogical habits.</w:t>
      </w:r>
    </w:p>
    <w:p>
      <w:pPr>
        <w:numPr>
          <w:ilvl w:val="0"/>
          <w:numId w:val="1001"/>
        </w:numPr>
        <w:pStyle w:val="Compact"/>
      </w:pPr>
      <w:r>
        <w:rPr>
          <w:bCs/>
          <w:b/>
        </w:rPr>
        <w:t xml:space="preserve">Digital Divide and Technological Integration:</w:t>
      </w:r>
      <w:r>
        <w:t xml:space="preserve"> </w:t>
      </w:r>
      <w:r>
        <w:t xml:space="preserve">While urban centers like</w:t>
      </w:r>
      <w:r>
        <w:t xml:space="preserve"> </w:t>
      </w:r>
      <w:r>
        <w:rPr>
          <w:bCs/>
          <w:b/>
        </w:rPr>
        <w:t xml:space="preserve">Vietnam Ho Chi Minh City</w:t>
      </w:r>
      <w:r>
        <w:t xml:space="preserve"> </w:t>
      </w:r>
      <w:r>
        <w:t xml:space="preserve">possess robust infrastructure, rural districts on the city's periphery often lack reliable internet access. The modern</w:t>
      </w:r>
      <w:r>
        <w:t xml:space="preserve"> </w:t>
      </w:r>
      <w:r>
        <w:rPr>
          <w:bCs/>
          <w:b/>
        </w:rPr>
        <w:t xml:space="preserve">Education Administrator</w:t>
      </w:r>
      <w:r>
        <w:t xml:space="preserve"> </w:t>
      </w:r>
      <w:r>
        <w:t xml:space="preserve">must ensure equitable distribution of digital learning resources to prevent widening educational gaps between inner-city and suburban schools.</w:t>
      </w:r>
    </w:p>
    <w:p>
      <w:pPr>
        <w:numPr>
          <w:ilvl w:val="0"/>
          <w:numId w:val="1001"/>
        </w:numPr>
        <w:pStyle w:val="Compact"/>
      </w:pPr>
      <w:r>
        <w:rPr>
          <w:bCs/>
          <w:b/>
        </w:rPr>
        <w:t xml:space="preserve">Talent Retention and Professional Development:</w:t>
      </w:r>
      <w:r>
        <w:t xml:space="preserve"> </w:t>
      </w:r>
      <w:r>
        <w:t xml:space="preserve">There is a significant brain drain in the teaching profession, with many qualified educators seeking higher compensation abroad or in the corporate sector. Administrators must develop innovative retention strategies that go beyond salary, focusing on mentorship programs, clear career progression paths, and fostering a supportive school culture.</w:t>
      </w:r>
    </w:p>
    <w:bookmarkEnd w:id="23"/>
    <w:bookmarkEnd w:id="24"/>
    <w:bookmarkStart w:id="25" w:name="case-study-focus-ho-chi-minh-city"/>
    <w:p>
      <w:pPr>
        <w:pStyle w:val="Heading3"/>
      </w:pPr>
      <w:r>
        <w:t xml:space="preserve">Case Study Focus: Ho Chi Minh City</w:t>
      </w:r>
    </w:p>
    <w:p>
      <w:pPr>
        <w:pStyle w:val="FirstParagraph"/>
      </w:pPr>
      <w:r>
        <w:t xml:space="preserve">In specific districts such as District 2 (Thu Duc) and District 7, we observe a distinct model of educational administration. Here, the convergence of international schools and local public institutions has created a hybrid administrative environment. Administrators here must be bilingual professionals capable of bridging Western educational philosophies with Vietnamese Confucian values regarding respect for authority and academic rigor.</w:t>
      </w:r>
    </w:p>
    <w:bookmarkEnd w:id="25"/>
    <w:bookmarkStart w:id="30" w:name="strategies"/>
    <w:bookmarkStart w:id="29" w:name="strategic-solutions-and-best-practices"/>
    <w:p>
      <w:pPr>
        <w:pStyle w:val="Heading2"/>
      </w:pPr>
      <w:r>
        <w:t xml:space="preserve">3. Strategic Solutions and Best Practices</w:t>
      </w:r>
    </w:p>
    <w:p>
      <w:pPr>
        <w:pStyle w:val="FirstParagraph"/>
      </w:pPr>
      <w:r>
        <w:t xml:space="preserve">To address these systemic issues, we propose a comprehensive framework for effective education administration tailored to the Vietnamese context.</w:t>
      </w:r>
    </w:p>
    <w:bookmarkStart w:id="26" w:name="a.-adaptive-leadership-models"/>
    <w:p>
      <w:pPr>
        <w:pStyle w:val="Heading3"/>
      </w:pPr>
      <w:r>
        <w:t xml:space="preserve">A. Adaptive Leadership Models</w:t>
      </w:r>
    </w:p>
    <w:p>
      <w:pPr>
        <w:pStyle w:val="FirstParagraph"/>
      </w:pPr>
      <w:r>
        <w:t xml:space="preserve">The traditional top-down management style is becoming obsolete. Effective</w:t>
      </w:r>
      <w:r>
        <w:t xml:space="preserve"> </w:t>
      </w:r>
      <w:r>
        <w:rPr>
          <w:bCs/>
          <w:b/>
        </w:rPr>
        <w:t xml:space="preserve">Education Administrators</w:t>
      </w:r>
      <w:r>
        <w:t xml:space="preserve"> </w:t>
      </w:r>
      <w:r>
        <w:t xml:space="preserve">must adopt adaptive leadership, empowering school principals and department heads to make localized decisions. This decentralization allows for faster responses to local community needs, such as adjusting homework loads during exam seasons or integrating local history into civic education modules.</w:t>
      </w:r>
    </w:p>
    <w:bookmarkEnd w:id="26"/>
    <w:bookmarkStart w:id="27" w:name="b.-data-driven-decision-making"/>
    <w:p>
      <w:pPr>
        <w:pStyle w:val="Heading3"/>
      </w:pPr>
      <w:r>
        <w:t xml:space="preserve">B. Data-Driven Decision Making</w:t>
      </w:r>
    </w:p>
    <w:p>
      <w:pPr>
        <w:pStyle w:val="FirstParagraph"/>
      </w:pPr>
      <w:r>
        <w:t xml:space="preserve">Leveraging Learning Management Systems (LMS) to analyze student performance data is crucial. Administrators should utilize this data not merely for grading but for identifying systemic gaps in teacher training or curriculum design. In</w:t>
      </w:r>
      <w:r>
        <w:t xml:space="preserve"> </w:t>
      </w:r>
      <w:r>
        <w:rPr>
          <w:bCs/>
          <w:b/>
        </w:rPr>
        <w:t xml:space="preserve">Vietnam Ho Chi Minh City</w:t>
      </w:r>
      <w:r>
        <w:t xml:space="preserve">, pilot programs utilizing AI-driven analytics have shown promising results in personalizing learning paths for students with special educational needs.</w:t>
      </w:r>
    </w:p>
    <w:bookmarkEnd w:id="27"/>
    <w:bookmarkStart w:id="28" w:name="c.-community-and-stakeholder-engagement"/>
    <w:p>
      <w:pPr>
        <w:pStyle w:val="Heading3"/>
      </w:pPr>
      <w:r>
        <w:t xml:space="preserve">C. Community and Stakeholder Engagement</w:t>
      </w:r>
    </w:p>
    <w:p>
      <w:pPr>
        <w:pStyle w:val="FirstParagraph"/>
      </w:pPr>
      <w:r>
        <w:t xml:space="preserve">Schools do not exist in isolation. Successful administrators actively engage parents, local businesses, and community leaders. Establishing Parent-Teacher Associations (PTAs) that hold genuine decision-making power fosters trust and transparency. Furthermore, partnerships with local industries can provide vocational training opportunities for high school students, aligning education outcomes with regional economic demands.</w:t>
      </w:r>
    </w:p>
    <w:bookmarkEnd w:id="28"/>
    <w:bookmarkEnd w:id="29"/>
    <w:bookmarkEnd w:id="30"/>
    <w:bookmarkStart w:id="32" w:name="implications"/>
    <w:bookmarkStart w:id="31" w:name="implications-for-policy-and-practice"/>
    <w:p>
      <w:pPr>
        <w:pStyle w:val="Heading2"/>
      </w:pPr>
      <w:r>
        <w:t xml:space="preserve">4. Implications for Policy and Practice</w:t>
      </w:r>
    </w:p>
    <w:p>
      <w:pPr>
        <w:pStyle w:val="FirstParagraph"/>
      </w:pPr>
      <w:r>
        <w:t xml:space="preserve">The findings of this study have significant implications for national policy. We recommend that teacher training programs in Vietnam incorporate specific modules on administrative leadership, digital literacy, and cross-cultural communication. Furthermore, regulatory bodies should incentivize schools that demonstrate high levels of community engagement and transparent governance.</w:t>
      </w:r>
    </w:p>
    <w:p>
      <w:pPr>
        <w:pStyle w:val="BodyText"/>
      </w:pPr>
      <w:r>
        <w:t xml:space="preserve">For the global academic community, this research highlights the importance of contextualizing educational theory. Western models of administration cannot be simply transplanted into</w:t>
      </w:r>
      <w:r>
        <w:t xml:space="preserve"> </w:t>
      </w:r>
      <w:r>
        <w:rPr>
          <w:bCs/>
          <w:b/>
        </w:rPr>
        <w:t xml:space="preserve">Vietnam Ho Chi Minh City</w:t>
      </w:r>
      <w:r>
        <w:t xml:space="preserve"> </w:t>
      </w:r>
      <w:r>
        <w:t xml:space="preserve">without adaptation to local cultural norms and structural realities.</w:t>
      </w:r>
    </w:p>
    <w:bookmarkEnd w:id="31"/>
    <w:bookmarkEnd w:id="32"/>
    <w:bookmarkStart w:id="34" w:name="conclusion"/>
    <w:bookmarkStart w:id="33" w:name="conclusion-and-future-directions"/>
    <w:p>
      <w:pPr>
        <w:pStyle w:val="Heading2"/>
      </w:pPr>
      <w:r>
        <w:t xml:space="preserve">5. Conclusion and Future Directions</w:t>
      </w:r>
    </w:p>
    <w:p>
      <w:pPr>
        <w:pStyle w:val="FirstParagraph"/>
      </w:pPr>
      <w:r>
        <w:t xml:space="preserve">The future of education administration relies on the ability to pivot between tradition and innovation. In cities like Ho Chi Minh City, where modernity clashes and blends with deep-rooted traditions, the</w:t>
      </w:r>
      <w:r>
        <w:t xml:space="preserve"> </w:t>
      </w:r>
      <w:r>
        <w:rPr>
          <w:bCs/>
          <w:b/>
        </w:rPr>
        <w:t xml:space="preserve">Education Administrator</w:t>
      </w:r>
      <w:r>
        <w:t xml:space="preserve"> </w:t>
      </w:r>
      <w:r>
        <w:t xml:space="preserve">acts as a crucial bridge. By embracing technological advancements while respecting cultural heritage, these leaders can ensure that educational systems remain inclusive, efficient, and forward-looking.</w:t>
      </w:r>
    </w:p>
    <w:p>
      <w:pPr>
        <w:pStyle w:val="BodyText"/>
      </w:pPr>
      <w:r>
        <w:t xml:space="preserve">Future research should focus on longitudinal studies tracking the impact of digital administration tools on student outcomes over a ten-year period in Southeast Asian urban centers.</w:t>
      </w:r>
    </w:p>
    <w:bookmarkEnd w:id="33"/>
    <w:bookmarkEnd w:id="34"/>
    <w:bookmarkStart w:id="35" w:name="references"/>
    <w:p>
      <w:pPr>
        <w:pStyle w:val="Heading2"/>
      </w:pPr>
      <w:r>
        <w:t xml:space="preserve">References</w:t>
      </w:r>
    </w:p>
    <w:p>
      <w:pPr>
        <w:numPr>
          <w:ilvl w:val="0"/>
          <w:numId w:val="1002"/>
        </w:numPr>
        <w:pStyle w:val="Compact"/>
      </w:pPr>
      <w:r>
        <w:t xml:space="preserve">Ministry of Education and Training Vietnam. (2018). *General Education Program*. Hanoi: NXB Giam Duc.</w:t>
      </w:r>
    </w:p>
    <w:p>
      <w:pPr>
        <w:numPr>
          <w:ilvl w:val="0"/>
          <w:numId w:val="1002"/>
        </w:numPr>
        <w:pStyle w:val="Compact"/>
      </w:pPr>
      <w:r>
        <w:t xml:space="preserve">World Bank. (2021). *Vietnam Higher Education Reform: Priorities for Action*. Washington, DC: World Bank Group.</w:t>
      </w:r>
    </w:p>
    <w:p>
      <w:pPr>
        <w:numPr>
          <w:ilvl w:val="0"/>
          <w:numId w:val="1002"/>
        </w:numPr>
        <w:pStyle w:val="Compact"/>
      </w:pPr>
      <w:r>
        <w:t xml:space="preserve">Zhang, Y., &amp; Li, W. (2019). "Administrative Challenges in Urbanizing Educational Markets." *Journal of Asian Education Studies*, 5(2), 45-60.</w:t>
      </w:r>
    </w:p>
    <w:bookmarkEnd w:id="35"/>
    <w:p>
      <w:pPr>
        <w:pStyle w:val="FirstParagraph"/>
      </w:pPr>
      <w:r>
        <w:t xml:space="preserve">© 2023 Academic Poster Presentation Series. All Rights Reserved.</w:t>
      </w:r>
      <w:r>
        <w:br/>
      </w:r>
      <w:r>
        <w:t xml:space="preserve">Contact: research@educationadmin.vn | Website: www.eduadmin-vietnam.org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Strategic Leadership in Education Administration</dc:title>
  <dc:creator/>
  <dc:language>en</dc:language>
  <cp:keywords/>
  <dcterms:created xsi:type="dcterms:W3CDTF">2026-07-29T21:33:35Z</dcterms:created>
  <dcterms:modified xsi:type="dcterms:W3CDTF">2026-07-29T21:33:35Z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