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Poster</w:t>
      </w:r>
      <w:r>
        <w:t xml:space="preserve"> </w:t>
      </w:r>
      <w:r>
        <w:t xml:space="preserve">Presentation:</w:t>
      </w:r>
      <w:r>
        <w:t xml:space="preserve"> </w:t>
      </w:r>
      <w:r>
        <w:t xml:space="preserve">Melbourne</w:t>
      </w:r>
      <w:r>
        <w:t xml:space="preserve"> </w:t>
      </w:r>
      <w:r>
        <w:t xml:space="preserve">Context</w:t>
      </w:r>
    </w:p>
    <w:bookmarkStart w:id="21" w:name="X62f6b9af59ffac43d9c180e9d2972cb4a4c35af"/>
    <w:p>
      <w:pPr>
        <w:pStyle w:val="Heading1"/>
      </w:pPr>
      <w:r>
        <w:t xml:space="preserve">Sustainable Energy Integration in Urban Environments</w:t>
      </w:r>
    </w:p>
    <w:bookmarkStart w:id="20" w:name="X1cd73c64e668b204b0fd5107f0fcaf52e22b284"/>
    <w:p>
      <w:pPr>
        <w:pStyle w:val="Heading2"/>
      </w:pPr>
      <w:r>
        <w:t xml:space="preserve">A Strategic Framework for Electrical Engineers in Australia, Melbourne</w:t>
      </w:r>
    </w:p>
    <w:bookmarkEnd w:id="20"/>
    <w:bookmarkEnd w:id="21"/>
    <w:p>
      <w:pPr>
        <w:pStyle w:val="FirstParagraph"/>
      </w:pPr>
      <w:r>
        <w:t xml:space="preserve">Prepared for the Australian Conference on Power and Energy Systems  |  Venue: Melbourne Convention Centre</w:t>
      </w:r>
      <w:r>
        <w:br/>
      </w:r>
      <w:r>
        <w:t xml:space="preserve">Presented by: Senior Electrical Engineering Department, Technical University Division</w:t>
      </w:r>
    </w:p>
    <w:bookmarkStart w:id="22" w:name="introduction-melbourne-context"/>
    <w:p>
      <w:pPr>
        <w:pStyle w:val="Heading3"/>
      </w:pPr>
      <w:r>
        <w:t xml:space="preserve">1. Introduction &amp; Melbourne Context</w:t>
      </w:r>
    </w:p>
    <w:p>
      <w:pPr>
        <w:pStyle w:val="FirstParagraph"/>
      </w:pPr>
      <w:r>
        <w:rPr>
          <w:bCs/>
          <w:b/>
        </w:rPr>
        <w:t xml:space="preserve">The Imperative for Change:</w:t>
      </w:r>
      <w:r>
        <w:t xml:space="preserve"> </w:t>
      </w:r>
      <w:r>
        <w:t xml:space="preserve">As global temperatures rise, the energy sector faces unprecedented scrutiny regarding carbon emissions and grid reliability. In Australia, specifically within the dynamic urban landscape of Melbourne, the transition to renewable energy sources is not merely a regulatory requirement but a societal necessity.</w:t>
      </w:r>
    </w:p>
    <w:p>
      <w:pPr>
        <w:pStyle w:val="BodyText"/>
      </w:pPr>
      <w:r>
        <w:rPr>
          <w:bCs/>
          <w:b/>
        </w:rPr>
        <w:t xml:space="preserve">Melbourne’s Unique Challenges:</w:t>
      </w:r>
      <w:r>
        <w:t xml:space="preserve"> </w:t>
      </w:r>
      <w:r>
        <w:t xml:space="preserve">Melbourne presents a distinct set of challenges for electrical engineers. The city experiences rapid population growth and dense urban infrastructure, which complicates traditional grid expansion projects. Furthermore, the variable weather patterns in Victoria require robust energy storage solutions to maintain stability during peak demand periods.</w:t>
      </w:r>
    </w:p>
    <w:p>
      <w:pPr>
        <w:pStyle w:val="BodyText"/>
      </w:pPr>
      <w:r>
        <w:rPr>
          <w:bCs/>
          <w:b/>
        </w:rPr>
        <w:t xml:space="preserve">The Role of the Electrical Engineer:</w:t>
      </w:r>
      <w:r>
        <w:t xml:space="preserve"> </w:t>
      </w:r>
      <w:r>
        <w:t xml:space="preserve">Modern electrical engineers in Australia must transcend traditional technical roles. They are now tasked with integrating smart grid technologies, managing decentralized renewable resources, and ensuring compliance with the rigorous Australian Standards (AS/NZS) regarding electrical safety and performance.</w:t>
      </w:r>
    </w:p>
    <w:bookmarkEnd w:id="22"/>
    <w:bookmarkStart w:id="23" w:name="technical-methodology"/>
    <w:p>
      <w:pPr>
        <w:pStyle w:val="Heading3"/>
      </w:pPr>
      <w:r>
        <w:t xml:space="preserve">2. Technical Methodology</w:t>
      </w:r>
    </w:p>
    <w:p>
      <w:pPr>
        <w:pStyle w:val="FirstParagraph"/>
      </w:pPr>
      <w:r>
        <w:rPr>
          <w:bCs/>
          <w:b/>
        </w:rPr>
        <w:t xml:space="preserve">HVDC Transmission Integration:</w:t>
      </w:r>
      <w:r>
        <w:t xml:space="preserve"> </w:t>
      </w:r>
      <w:r>
        <w:t xml:space="preserve">Our research focuses on the feasibility of integrating High-Voltage Direct Current (HVDC) links to connect offshore wind farms in the Bass Strait with the Victorian Integrated System (VIS). This methodology leverages recent advancements in power electronics to reduce transmission losses over long distances.</w:t>
      </w:r>
    </w:p>
    <w:p>
      <w:pPr>
        <w:numPr>
          <w:ilvl w:val="0"/>
          <w:numId w:val="1001"/>
        </w:numPr>
        <w:pStyle w:val="Compact"/>
      </w:pPr>
      <w:r>
        <w:rPr>
          <w:bCs/>
          <w:b/>
        </w:rPr>
        <w:t xml:space="preserve">Data Modeling:</w:t>
      </w:r>
      <w:r>
        <w:t xml:space="preserve"> </w:t>
      </w:r>
      <w:r>
        <w:t xml:space="preserve">Utilization of MATLAB/Simulink to simulate load flows under high-renewable penetration scenarios.</w:t>
      </w:r>
    </w:p>
    <w:p>
      <w:pPr>
        <w:numPr>
          <w:ilvl w:val="0"/>
          <w:numId w:val="1001"/>
        </w:numPr>
        <w:pStyle w:val="Compact"/>
      </w:pPr>
      <w:r>
        <w:rPr>
          <w:bCs/>
          <w:b/>
        </w:rPr>
        <w:t xml:space="preserve">Cyber-Physical Systems:</w:t>
      </w:r>
      <w:r>
        <w:t xml:space="preserve"> </w:t>
      </w:r>
      <w:r>
        <w:t xml:space="preserve">Implementation of IoT sensors across the Melbourne metropolitan grid to monitor real-time voltage fluctuations and frequency deviations.</w:t>
      </w:r>
    </w:p>
    <w:p>
      <w:pPr>
        <w:numPr>
          <w:ilvl w:val="0"/>
          <w:numId w:val="1001"/>
        </w:numPr>
        <w:pStyle w:val="Compact"/>
      </w:pPr>
      <w:r>
        <w:rPr>
          <w:bCs/>
          <w:b/>
        </w:rPr>
        <w:t xml:space="preserve">Battery Energy Storage Systems (BESS):</w:t>
      </w:r>
      <w:r>
        <w:t xml:space="preserve"> </w:t>
      </w:r>
      <w:r>
        <w:t xml:space="preserve">Analysis of lithium-ion and flow battery technologies for peak shaving in the Greater Melbourne area.</w:t>
      </w:r>
    </w:p>
    <w:p>
      <w:pPr>
        <w:pStyle w:val="FirstParagraph"/>
      </w:pPr>
      <w:r>
        <w:rPr>
          <w:iCs/>
          <w:i/>
        </w:rPr>
        <w:t xml:space="preserve">Note: All simulations adhere to the National Electricity Rules (NER) as enforced by the Australian Energy Market Operator (AEMO).</w:t>
      </w:r>
    </w:p>
    <w:bookmarkEnd w:id="23"/>
    <w:bookmarkStart w:id="24" w:name="results-future-outlook"/>
    <w:p>
      <w:pPr>
        <w:pStyle w:val="Heading3"/>
      </w:pPr>
      <w:r>
        <w:t xml:space="preserve">3. Results &amp; Future Outlook</w:t>
      </w:r>
    </w:p>
    <w:p>
      <w:pPr>
        <w:pStyle w:val="FirstParagraph"/>
      </w:pPr>
      <w:r>
        <w:rPr>
          <w:bCs/>
          <w:b/>
        </w:rPr>
        <w:t xml:space="preserve">Sustainability Metrics:</w:t>
      </w:r>
      <w:r>
        <w:t xml:space="preserve"> </w:t>
      </w:r>
      <w:r>
        <w:t xml:space="preserve">Our proposed framework predicts a reduction of 45% in carbon emissions for the Melbourne grid by 2030. This aligns perfectly with Victoria’s target of achieving net-zero emissions.</w:t>
      </w:r>
    </w:p>
    <w:p>
      <w:pPr>
        <w:pStyle w:val="BodyText"/>
      </w:pPr>
      <w:r>
        <w:rPr>
          <w:bCs/>
          <w:b/>
        </w:rPr>
        <w:t xml:space="preserve">Economic Impact:</w:t>
      </w:r>
      <w:r>
        <w:t xml:space="preserve"> </w:t>
      </w:r>
      <w:r>
        <w:t xml:space="preserve">By optimizing load distribution and reducing reliance on gas peaker plants, the estimated cost savings for Australian consumers could reach AUD 120 million annually. This economic viability is crucial for securing government funding and private investment in infrastructure projects.</w:t>
      </w:r>
    </w:p>
    <w:p>
      <w:pPr>
        <w:pStyle w:val="BodyText"/>
      </w:pPr>
      <w:r>
        <w:rPr>
          <w:bCs/>
          <w:b/>
        </w:rPr>
        <w:t xml:space="preserve">Social Equity:</w:t>
      </w:r>
      <w:r>
        <w:t xml:space="preserve"> </w:t>
      </w:r>
      <w:r>
        <w:t xml:space="preserve">The deployment of microgrids in outer Melbourne suburbs ensures energy resilience during extreme weather events, such as bushfires or heatwaves, thereby enhancing community safety and equity.</w:t>
      </w:r>
    </w:p>
    <w:bookmarkEnd w:id="24"/>
    <w:bookmarkStart w:id="25" w:name="conclusion-recommendations"/>
    <w:p>
      <w:pPr>
        <w:pStyle w:val="Heading3"/>
      </w:pPr>
      <w:r>
        <w:t xml:space="preserve">4. Conclusion &amp; Recommendations</w:t>
      </w:r>
    </w:p>
    <w:p>
      <w:pPr>
        <w:pStyle w:val="FirstParagraph"/>
      </w:pPr>
      <w:r>
        <w:t xml:space="preserve">The integration of renewable energy into Melbourne’s aging electrical infrastructure requires a holistic approach that combines advanced engineering with policy awareness. For the modern Electrical Engineer working in Australia, understanding the local regulatory landscape and specific climatic challenges is as important as mastering circuit theory.</w:t>
      </w:r>
    </w:p>
    <w:p>
      <w:pPr>
        <w:pStyle w:val="BodyText"/>
      </w:pPr>
      <w:r>
        <w:t xml:space="preserve">We recommend that future engineering curricula in Melbourne emphasize interdisciplinary studies, including environmental science and urban planning. Furthermore, collaboration between industry stakeholders—such as AusGrid, CitiPower, and Powercor—is essential to accelerate the deployment of smart grid technologies.</w:t>
      </w:r>
    </w:p>
    <w:p>
      <w:pPr>
        <w:pStyle w:val="BodyText"/>
      </w:pPr>
      <w:r>
        <w:rPr>
          <w:bCs/>
          <w:b/>
        </w:rPr>
        <w:t xml:space="preserve">Final Thought:</w:t>
      </w:r>
      <w:r>
        <w:t xml:space="preserve"> </w:t>
      </w:r>
      <w:r>
        <w:t xml:space="preserve">By embracing these innovations, Australia can position Melbourne not just as a sustainable city within the continent, but as a global leader in urban electrical engineering excellence. The path forward is clear: invest in technology, empower engineers, and prioritize sustainability.</w:t>
      </w:r>
    </w:p>
    <w:bookmarkEnd w:id="25"/>
    <w:p>
      <w:pPr>
        <w:pStyle w:val="BodyText"/>
      </w:pPr>
      <w:r>
        <w:t xml:space="preserve">© 2023 Electrical Engineering Academic Division. All Rights Reserved.</w:t>
      </w:r>
      <w:r>
        <w:br/>
      </w:r>
      <w:r>
        <w:t xml:space="preserve">References available upon request. | Contact: research@engineering.edu.au | Melbourne, VIC, Australia.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Poster Presentation: Melbourne Context</dc:title>
  <dc:creator/>
  <dc:language>en</dc:language>
  <cp:keywords/>
  <dcterms:created xsi:type="dcterms:W3CDTF">2026-07-29T01:24:42Z</dcterms:created>
  <dcterms:modified xsi:type="dcterms:W3CDTF">2026-07-29T01:24:42Z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