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Electrical</w:t>
      </w:r>
      <w:r>
        <w:t xml:space="preserve"> </w:t>
      </w:r>
      <w:r>
        <w:t xml:space="preserve">Engineering</w:t>
      </w:r>
      <w:r>
        <w:t xml:space="preserve"> </w:t>
      </w:r>
      <w:r>
        <w:t xml:space="preserve">Poster</w:t>
      </w:r>
      <w:r>
        <w:t xml:space="preserve"> </w:t>
      </w:r>
      <w:r>
        <w:t xml:space="preserve">Presentation:</w:t>
      </w:r>
      <w:r>
        <w:t xml:space="preserve"> </w:t>
      </w:r>
      <w:r>
        <w:t xml:space="preserve">Medellín,</w:t>
      </w:r>
      <w:r>
        <w:t xml:space="preserve"> </w:t>
      </w:r>
      <w:r>
        <w:t xml:space="preserve">Colombia</w:t>
      </w:r>
    </w:p>
    <w:bookmarkStart w:id="31" w:name="X94914d8c57d3a1a1fd0bf61942b69254911caa6"/>
    <w:p>
      <w:pPr>
        <w:pStyle w:val="Heading1"/>
      </w:pPr>
      <w:r>
        <w:t xml:space="preserve">Modernizing the Grid: Sustainable Electrical Engineering Solutions for Medellín, Colombia</w:t>
      </w:r>
    </w:p>
    <w:p>
      <w:pPr>
        <w:pStyle w:val="FirstParagraph"/>
      </w:pPr>
      <w:r>
        <w:rPr>
          <w:bCs/>
          <w:b/>
        </w:rPr>
        <w:t xml:space="preserve">A Poster Presentation for Academic and Industry Stakeholders in Antioquia</w:t>
      </w:r>
    </w:p>
    <w:p>
      <w:pPr>
        <w:pStyle w:val="BodyText"/>
      </w:pPr>
      <w:r>
        <w:t xml:space="preserve">/* Inner container styling for visual hierarchy */</w:t>
      </w:r>
    </w:p>
    <w:bookmarkStart w:id="22" w:name="introduction-and-regional-context"/>
    <w:p>
      <w:pPr>
        <w:pStyle w:val="Heading2"/>
      </w:pPr>
      <w:r>
        <w:t xml:space="preserve">1. Introduction and Regional Context</w:t>
      </w:r>
    </w:p>
    <w:p>
      <w:pPr>
        <w:pStyle w:val="FirstParagraph"/>
      </w:pPr>
      <w:r>
        <w:t xml:space="preserve">The transition toward renewable energy sources is not merely a global trend but a local imperative for cities worldwide. In Latin America, the city of Medellín, Colombia, stands as a unique case study in urban innovation and social development through engineering. As an academic Electrical Engineer presenting here in Medellín, it is crucial to analyze how technical expertise intersects with socio-economic needs.</w:t>
      </w:r>
    </w:p>
    <w:p>
      <w:pPr>
        <w:pStyle w:val="BodyText"/>
      </w:pPr>
      <w:r>
        <w:t xml:space="preserve">Medellín has transformed from a city known for violence to one recognized globally for its innovative urban planning. However, the electrical infrastructure supporting this growth faces new challenges due to climate variability affecting hydropower—the primary source of electricity in Colombia—and the increasing demand driven by electric mobility and industrial expansion.</w:t>
      </w:r>
    </w:p>
    <w:bookmarkStart w:id="20" w:name="the-role-of-electrical-engineering"/>
    <w:p>
      <w:pPr>
        <w:pStyle w:val="Heading3"/>
      </w:pPr>
      <w:r>
        <w:t xml:space="preserve">The Role of Electrical Engineering</w:t>
      </w:r>
    </w:p>
    <w:p>
      <w:pPr>
        <w:pStyle w:val="FirstParagraph"/>
      </w:pPr>
      <w:r>
        <w:t xml:space="preserve">This presentation highlights the critical role that modern Electrical Engineers play in designing resilient power systems. We argue that traditional grid designs must be supplemented with distributed generation, smart metering technologies, and energy storage solutions to ensure stability in Medellín’s specific geographic and economic context.</w:t>
      </w:r>
    </w:p>
    <w:bookmarkEnd w:id="20"/>
    <w:bookmarkStart w:id="21" w:name="poster-abstract"/>
    <w:p>
      <w:pPr>
        <w:pStyle w:val="Heading3"/>
      </w:pPr>
      <w:r>
        <w:t xml:space="preserve">Poster Abstract</w:t>
      </w:r>
    </w:p>
    <w:p>
      <w:pPr>
        <w:pStyle w:val="FirstParagraph"/>
      </w:pPr>
      <w:r>
        <w:t xml:space="preserve">This academic poster explores the integration of hybrid renewable energy systems into the urban grid of Medellín. By analyzing local solar irradiation data and hydrological patterns, we propose a decentralized microgrid model for high-density neighborhoods. The study emphasizes the necessity for Electrical Engineers to adopt interdisciplinary approaches, combining power electronics with urban policy analysis to create sustainable energy ecosystems.</w:t>
      </w:r>
    </w:p>
    <w:bookmarkEnd w:id="21"/>
    <w:bookmarkEnd w:id="22"/>
    <w:bookmarkStart w:id="26" w:name="proposed-engineering-framework"/>
    <w:p>
      <w:pPr>
        <w:pStyle w:val="Heading2"/>
      </w:pPr>
      <w:r>
        <w:t xml:space="preserve">2. Proposed Engineering Framework</w:t>
      </w:r>
    </w:p>
    <w:p>
      <w:pPr>
        <w:pStyle w:val="FirstParagraph"/>
      </w:pPr>
      <w:r>
        <w:t xml:space="preserve">The core of this academic proposal focuses on the "Medellín Smart Grid Initiative." This framework is designed by Electrical Engineers for local utility providers and municipal planners. The technical methodology involves three primary pillars: integration, optimization, and resilience.</w:t>
      </w:r>
    </w:p>
    <w:bookmarkStart w:id="23" w:name="pillar-i-solar-photovoltaic-integration"/>
    <w:p>
      <w:pPr>
        <w:pStyle w:val="Heading3"/>
      </w:pPr>
      <w:r>
        <w:t xml:space="preserve">Pillar I: Solar Photovoltaic Integration</w:t>
      </w:r>
    </w:p>
    <w:p>
      <w:pPr>
        <w:pStyle w:val="FirstParagraph"/>
      </w:pPr>
      <w:r>
        <w:t xml:space="preserve">Despite its tropical location, Medellín’s cloud cover has historically been underestimated as a resource for solar power. Recent advancements in bifacial solar panels and tracking systems allow for efficient energy capture even in partial shade conditions common in the Andean foothills. Our analysis suggests that retrofitting existing infrastructure with small-scale PV installations can offset up to 15% of peak load demand.</w:t>
      </w:r>
    </w:p>
    <w:bookmarkEnd w:id="23"/>
    <w:bookmarkStart w:id="24" w:name="Xf39ef0fc1d3785261947a8365a8051dd7368505"/>
    <w:p>
      <w:pPr>
        <w:pStyle w:val="Heading3"/>
      </w:pPr>
      <w:r>
        <w:t xml:space="preserve">Pillar II: Battery Energy Storage Systems (BESS)</w:t>
      </w:r>
    </w:p>
    <w:p>
      <w:pPr>
        <w:pStyle w:val="FirstParagraph"/>
      </w:pPr>
      <w:r>
        <w:t xml:space="preserve">To address the intermittency of renewable sources, we propose the implementation of BESS in strategic nodes across the city. This technology allows for load shifting, storing excess energy generated during low-demand periods and releasing it during peak hours. For an Electrical Engineer working in Colombia, understanding battery chemistry and grid synchronization is vital.</w:t>
      </w:r>
    </w:p>
    <w:bookmarkEnd w:id="24"/>
    <w:bookmarkStart w:id="25" w:name="X0b99fab41aec8c9a24e64ab57301793aee557d0"/>
    <w:p>
      <w:pPr>
        <w:pStyle w:val="Heading3"/>
      </w:pPr>
      <w:r>
        <w:t xml:space="preserve">Pillar III: Smart Metering and AI Monitoring</w:t>
      </w:r>
    </w:p>
    <w:p>
      <w:pPr>
        <w:pStyle w:val="FirstParagraph"/>
      </w:pPr>
      <w:r>
        <w:t xml:space="preserve">The deployment of Advanced Metering Infrastructure (AMI) enables real-time monitoring of consumption patterns. By utilizing machine learning algorithms, utility companies can predict outages and optimize voltage regulation automatically, reducing technical losses significantly.</w:t>
      </w:r>
    </w:p>
    <w:bookmarkEnd w:id="25"/>
    <w:bookmarkEnd w:id="26"/>
    <w:bookmarkStart w:id="27" w:name="case-study-comuna-13"/>
    <w:p>
      <w:pPr>
        <w:pStyle w:val="Heading2"/>
      </w:pPr>
      <w:r>
        <w:t xml:space="preserve">3. Case Study: Comuna 13</w:t>
      </w:r>
    </w:p>
    <w:p>
      <w:pPr>
        <w:pStyle w:val="FirstParagraph"/>
      </w:pPr>
      <w:r>
        <w:t xml:space="preserve">We present a pilot project model applied to Comuna 13, a historically marginalized neighborhood that has undergone significant social improvement. Applying Electrical Engineering principles here involves installing community-owned solar microgrids. This not only provides reliable electricity but also empowers the local economy by reducing energy costs for small businesses, aligning technical solutions with social equity goals.</w:t>
      </w:r>
    </w:p>
    <w:bookmarkEnd w:id="27"/>
    <w:bookmarkStart w:id="28" w:name="challenges-and-regulatory-landscape"/>
    <w:p>
      <w:pPr>
        <w:pStyle w:val="Heading2"/>
      </w:pPr>
      <w:r>
        <w:t xml:space="preserve">4. Challenges and Regulatory Landscape</w:t>
      </w:r>
    </w:p>
    <w:p>
      <w:pPr>
        <w:pStyle w:val="FirstParagraph"/>
      </w:pPr>
      <w:r>
        <w:t xml:space="preserve">Implementing these technologies in Colombia is not without hurdles. The regulatory framework for distributed generation is evolving but often lacks clarity regarding grid connection fees and net metering policies.</w:t>
      </w:r>
    </w:p>
    <w:p>
      <w:pPr>
        <w:numPr>
          <w:ilvl w:val="0"/>
          <w:numId w:val="1001"/>
        </w:numPr>
        <w:pStyle w:val="Compact"/>
      </w:pPr>
      <w:r>
        <w:rPr>
          <w:bCs/>
          <w:b/>
        </w:rPr>
        <w:t xml:space="preserve">Regulatory Complexity:</w:t>
      </w:r>
      <w:r>
        <w:t xml:space="preserve"> </w:t>
      </w:r>
      <w:r>
        <w:t xml:space="preserve">Electrical Engineers must navigate bureaucratic processes involving the Superintendencia de Industria y Comercio (SIC).</w:t>
      </w:r>
    </w:p>
    <w:p>
      <w:pPr>
        <w:numPr>
          <w:ilvl w:val="0"/>
          <w:numId w:val="1001"/>
        </w:numPr>
        <w:pStyle w:val="Compact"/>
      </w:pPr>
      <w:r>
        <w:rPr>
          <w:bCs/>
          <w:b/>
        </w:rPr>
        <w:t xml:space="preserve">Tech Capacity Building:</w:t>
      </w:r>
      <w:r>
        <w:t xml:space="preserve"> </w:t>
      </w:r>
      <w:r>
        <w:t xml:space="preserve">There is a need for specialized training for local technicians to maintain solar and storage systems.</w:t>
      </w:r>
    </w:p>
    <w:p>
      <w:pPr>
        <w:numPr>
          <w:ilvl w:val="0"/>
          <w:numId w:val="1001"/>
        </w:numPr>
        <w:pStyle w:val="Compact"/>
      </w:pPr>
      <w:r>
        <w:rPr>
          <w:bCs/>
          <w:b/>
        </w:rPr>
        <w:t xml:space="preserve">Funding Mechanisms:</w:t>
      </w:r>
      <w:r>
        <w:t xml:space="preserve"> </w:t>
      </w:r>
      <w:r>
        <w:t xml:space="preserve">Access to green financing requires rigorous technical proposals that demonstrate long-term viability.</w:t>
      </w:r>
    </w:p>
    <w:bookmarkEnd w:id="28"/>
    <w:bookmarkStart w:id="30" w:name="conclusion-and-future-work"/>
    <w:p>
      <w:pPr>
        <w:pStyle w:val="Heading2"/>
      </w:pPr>
      <w:r>
        <w:t xml:space="preserve">5. Conclusion and Future Work</w:t>
      </w:r>
    </w:p>
    <w:p>
      <w:pPr>
        <w:pStyle w:val="FirstParagraph"/>
      </w:pPr>
      <w:r>
        <w:t xml:space="preserve">In conclusion, the path to a sustainable future for Medellín lies in the hands of skilled Electrical Engineers who are attuned to local realities. By moving beyond centralized fossil-fuel dependency and embracing renewable integration, Medellín can serve as a model for other Andean cities.</w:t>
      </w:r>
    </w:p>
    <w:p>
      <w:pPr>
        <w:pStyle w:val="BodyText"/>
      </w:pPr>
      <w:r>
        <w:t xml:space="preserve">This poster presentation calls for increased collaboration between academic institutions in Colombia, such as Universidad Nacional de Colombia and Universidad de Antioquia, and industry partners. Together, we can refine these engineering models to create a robust, sustainable power grid that supports both economic growth and environmental stewardship.</w:t>
      </w:r>
    </w:p>
    <w:bookmarkStart w:id="29" w:name="references-for-further-reading"/>
    <w:p>
      <w:pPr>
        <w:pStyle w:val="Heading3"/>
      </w:pPr>
      <w:r>
        <w:t xml:space="preserve">References for Further Reading</w:t>
      </w:r>
    </w:p>
    <w:p>
      <w:pPr>
        <w:pStyle w:val="FirstParagraph"/>
      </w:pPr>
      <w:r>
        <w:t xml:space="preserve">- Ministerio de Minas y Energía (Colombia). Reports on Renewable Energy Potential.</w:t>
      </w:r>
      <w:r>
        <w:br/>
      </w:r>
      <w:r>
        <w:t xml:space="preserve">- International Energy Agency (IEA) Case Studies on Smart Grids.</w:t>
      </w:r>
      <w:r>
        <w:br/>
      </w:r>
      <w:r>
        <w:t xml:space="preserve">- Academic Journals on Power Systems Stability in Hybrid Grid Environments.</w:t>
      </w:r>
    </w:p>
    <w:bookmarkEnd w:id="29"/>
    <w:bookmarkEnd w:id="30"/>
    <w:p>
      <w:pPr>
        <w:pStyle w:val="BodyText"/>
      </w:pPr>
      <w:r>
        <w:rPr>
          <w:bCs/>
          <w:b/>
        </w:rPr>
        <w:t xml:space="preserve">Contact Information:</w:t>
      </w:r>
    </w:p>
    <w:p>
      <w:pPr>
        <w:pStyle w:val="BodyText"/>
      </w:pPr>
      <w:r>
        <w:rPr>
          <w:iCs/>
          <w:i/>
        </w:rPr>
        <w:t xml:space="preserve">Juan Pérez, M.Sc. Electrical Engineering</w:t>
      </w:r>
      <w:r>
        <w:br/>
      </w:r>
      <w:r>
        <w:t xml:space="preserve">Department of Energy Systems, Medellín Campus</w:t>
      </w:r>
      <w:r>
        <w:br/>
      </w:r>
      <w:r>
        <w:t xml:space="preserve">Email: jperez.engineering@academia.edu.co | Phone: +57 300 123 4567</w:t>
      </w:r>
    </w:p>
    <w:p>
      <w:pPr>
        <w:pStyle w:val="BodyText"/>
      </w:pPr>
      <w:r>
        <w:t xml:space="preserve">© 2023 Academic Poster Presentation. All Rights Reserved.</w:t>
      </w:r>
    </w:p>
    <w:bookmarkEnd w:id="31"/>
    <w:bookmarkStart w:id="39" w:name="X85da60a2028b91cc76444ad7734a194d0fdcdaf"/>
    <w:p>
      <w:pPr>
        <w:pStyle w:val="Heading3"/>
      </w:pPr>
      <w:r>
        <w:t xml:space="preserve">Extended Technical Analysis for Academic Review</w:t>
      </w:r>
    </w:p>
    <w:p>
      <w:pPr>
        <w:pStyle w:val="FirstParagraph"/>
      </w:pPr>
      <w:r>
        <w:t xml:space="preserve">The following text expands upon the technical methodologies proposed in the poster, providing deeper insight into the electrical engineering principles applied to the Colombian context. This section is intended for peer reviewers and academic stakeholders attending conferences in Medellín.</w:t>
      </w:r>
    </w:p>
    <w:bookmarkStart w:id="32" w:name="X0c33204f52e3f1b3641b957b11d75baede2aa05"/>
    <w:p>
      <w:pPr>
        <w:pStyle w:val="Heading4"/>
      </w:pPr>
      <w:r>
        <w:t xml:space="preserve">A. Harmonic Distortion Analysis in Urban Grids</w:t>
      </w:r>
    </w:p>
    <w:p>
      <w:pPr>
        <w:pStyle w:val="FirstParagraph"/>
      </w:pPr>
      <w:r>
        <w:t xml:space="preserve">In urban centers like Medellín, the proliferation of non-linear loads such as Variable Frequency Drives (VFDs) in industrial settings and consumer electronics creates harmonic distortion. This distortion can lead to overheating of transformers and capacitors, reducing efficiency. Our proposed framework includes Passive Filter designs tailored for 60Hz systems (note: Colombia uses 50Hz, so adjustments are made for 50Hz standards specific to the Interconectación Nacional) to mitigate Total Harmonic Distortion (THD) below the limits set by IEEE Std 519.</w:t>
      </w:r>
    </w:p>
    <w:bookmarkEnd w:id="32"/>
    <w:bookmarkStart w:id="33" w:name="b.-geospatial-data-integration"/>
    <w:p>
      <w:pPr>
        <w:pStyle w:val="Heading4"/>
      </w:pPr>
      <w:r>
        <w:t xml:space="preserve">B. Geospatial Data Integration</w:t>
      </w:r>
    </w:p>
    <w:p>
      <w:pPr>
        <w:pStyle w:val="FirstParagraph"/>
      </w:pPr>
      <w:r>
        <w:t xml:space="preserve">The integration of Geographic Information Systems (GIS) with electrical grid modeling allows for precise placement of renewable assets. By analyzing topographical data specific to the Aburrá Valley, engineers can optimize line routes to minimize environmental impact and construction costs. This digital twin approach ensures that the physical infrastructure aligns perfectly with simulated performance models.</w:t>
      </w:r>
    </w:p>
    <w:bookmarkEnd w:id="33"/>
    <w:bookmarkStart w:id="34" w:name="c.-socio-economic-impact-metrics"/>
    <w:p>
      <w:pPr>
        <w:pStyle w:val="Heading4"/>
      </w:pPr>
      <w:r>
        <w:t xml:space="preserve">C. Socio-Economic Impact Metrics</w:t>
      </w:r>
    </w:p>
    <w:p>
      <w:pPr>
        <w:pStyle w:val="FirstParagraph"/>
      </w:pPr>
      <w:r>
        <w:t xml:space="preserve">Beyond technical specifications, this poster emphasizes metrics that quantify social return on investment (SROI). For example, reliability indices such as SAIDI (System Average Interruption Duration Index) are tracked not just for efficiency but for their impact on household safety and business continuity. In Medellín, reducing outage duration directly correlates with improved quality of life metrics in vulnerable communities.</w:t>
      </w:r>
    </w:p>
    <w:bookmarkEnd w:id="34"/>
    <w:bookmarkStart w:id="35" w:name="Xf0de94f253af7d7667d856767b730d01664f726"/>
    <w:p>
      <w:pPr>
        <w:pStyle w:val="Heading4"/>
      </w:pPr>
      <w:r>
        <w:t xml:space="preserve">D. Policy Recommendations for Colombian Regulators</w:t>
      </w:r>
    </w:p>
    <w:p>
      <w:pPr>
        <w:pStyle w:val="FirstParagraph"/>
      </w:pPr>
      <w:r>
        <w:t xml:space="preserve">We recommend that the Energy and Gas Regulatory Commission (CREG) streamline the approval process for small-scale renewable generators. Simplifying the technical requirements without compromising safety can accelerate adoption rates. Furthermore, incentives for battery storage procurement could help stabilize grid frequency during periods of low solar generation in the early morning hours.</w:t>
      </w:r>
    </w:p>
    <w:bookmarkEnd w:id="35"/>
    <w:bookmarkStart w:id="36" w:name="e.-educational-implications"/>
    <w:p>
      <w:pPr>
        <w:pStyle w:val="Heading4"/>
      </w:pPr>
      <w:r>
        <w:t xml:space="preserve">E. Educational Implications</w:t>
      </w:r>
    </w:p>
    <w:p>
      <w:pPr>
        <w:pStyle w:val="FirstParagraph"/>
      </w:pPr>
      <w:r>
        <w:t xml:space="preserve">The success of this engineering initiative relies on a workforce proficient in both traditional power systems and modern digital technologies. We propose updated curricula for Electrical Engineering programs in Colombian universities, incorporating modules on IoT, data analytics, and sustainable design ethics to prepare the next generation of engineers for these specific challenges.</w:t>
      </w:r>
    </w:p>
    <w:bookmarkEnd w:id="36"/>
    <w:bookmarkStart w:id="37" w:name="f.-environmental-sustainability"/>
    <w:p>
      <w:pPr>
        <w:pStyle w:val="Heading4"/>
      </w:pPr>
      <w:r>
        <w:t xml:space="preserve">F. Environmental Sustainability</w:t>
      </w:r>
    </w:p>
    <w:p>
      <w:pPr>
        <w:pStyle w:val="FirstParagraph"/>
      </w:pPr>
      <w:r>
        <w:t xml:space="preserve">The reduction of carbon emissions is a primary goal. By modeling the life-cycle assessment (LCA) of solar panels versus traditional diesel generators, we demonstrate a significant decrease in greenhouse gas output over the 25-year lifespan of the installation. This aligns with Colombia’s Nationally Determined Contributions (NDCs) under the Paris Agreement.</w:t>
      </w:r>
    </w:p>
    <w:bookmarkEnd w:id="37"/>
    <w:bookmarkStart w:id="38" w:name="g.-conclusion-on-scalability"/>
    <w:p>
      <w:pPr>
        <w:pStyle w:val="Heading4"/>
      </w:pPr>
      <w:r>
        <w:t xml:space="preserve">G. Conclusion on Scalability</w:t>
      </w:r>
    </w:p>
    <w:p>
      <w:pPr>
        <w:pStyle w:val="FirstParagraph"/>
      </w:pPr>
      <w:r>
        <w:t xml:space="preserve">The models developed for Medellín are scalable to other cities in similar geographic and climatic conditions across Latin America, such as Quito, Ecuador, or Bogotá. The lessons learned from implementing these solutions in Colombia can serve as a blueprint for regional energy independence and sustainability.</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Engineering Poster Presentation: Medellín, Colombia</dc:title>
  <dc:creator/>
  <dc:language>en</dc:language>
  <cp:keywords/>
  <dcterms:created xsi:type="dcterms:W3CDTF">2026-07-29T09:58:35Z</dcterms:created>
  <dcterms:modified xsi:type="dcterms:W3CDTF">2026-07-29T09:58:35Z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