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w:t>
      </w:r>
      <w:r>
        <w:t xml:space="preserve"> </w:t>
      </w:r>
      <w:r>
        <w:t xml:space="preserve">in</w:t>
      </w:r>
      <w:r>
        <w:t xml:space="preserve"> </w:t>
      </w:r>
      <w:r>
        <w:t xml:space="preserve">Manchester</w:t>
      </w:r>
    </w:p>
    <w:bookmarkStart w:id="30" w:name="X204928d91aa0dbd0ee04c997822a16eba4f45bd"/>
    <w:p>
      <w:pPr>
        <w:pStyle w:val="Heading1"/>
      </w:pPr>
      <w:r>
        <w:t xml:space="preserve">Bridging Theory and Practice:</w:t>
      </w:r>
      <w:r>
        <w:br/>
      </w:r>
      <w:r>
        <w:t xml:space="preserve">The Modern Electronics Engineer in United Kingdom Manchester</w:t>
      </w:r>
    </w:p>
    <w:p>
      <w:pPr>
        <w:pStyle w:val="FirstParagraph"/>
      </w:pPr>
      <w:r>
        <w:rPr>
          <w:bCs/>
          <w:b/>
        </w:rPr>
        <w:t xml:space="preserve">A Poster Presentation Academic Document Analyzing Regional Innovation Hubs and Engineering Workforce Dynamics</w:t>
      </w:r>
    </w:p>
    <w:p>
      <w:pPr>
        <w:pStyle w:val="BodyText"/>
      </w:pPr>
      <w:r>
        <w:rPr>
          <w:iCs/>
          <w:i/>
        </w:rPr>
        <w:t xml:space="preserve">Presentation by: [Your Name/Research Group]</w:t>
      </w:r>
      <w:r>
        <w:br/>
      </w:r>
      <w:r>
        <w:rPr>
          <w:iCs/>
          <w:i/>
        </w:rPr>
        <w:t xml:space="preserve">Institution: Department of Electrical &amp; Electronic Engineering</w:t>
      </w:r>
      <w:r>
        <w:br/>
      </w:r>
      <w:r>
        <w:rPr>
          <w:iCs/>
          <w:i/>
        </w:rPr>
        <w:t xml:space="preserve">Location Focus: United Kingdom Manchester</w:t>
      </w:r>
    </w:p>
    <w:bookmarkStart w:id="20" w:name="introduction-and-context"/>
    <w:p>
      <w:pPr>
        <w:pStyle w:val="Heading2"/>
      </w:pPr>
      <w:r>
        <w:t xml:space="preserve">1. Introduction and Context</w:t>
      </w:r>
    </w:p>
    <w:p>
      <w:pPr>
        <w:pStyle w:val="FirstParagraph"/>
      </w:pPr>
      <w:r>
        <w:t xml:space="preserve">The role of the</w:t>
      </w:r>
      <w:r>
        <w:t xml:space="preserve"> </w:t>
      </w:r>
      <w:r>
        <w:rPr>
          <w:bCs/>
          <w:b/>
        </w:rPr>
        <w:t xml:space="preserve">Electronics Engineer</w:t>
      </w:r>
      <w:r>
        <w:t xml:space="preserve"> </w:t>
      </w:r>
      <w:r>
        <w:t xml:space="preserve">has evolved drastically over the last two decades, shifting from purely hardware-centric design to a multidisciplinary field integrating artificial intelligence, IoT connectivity, and sustainable energy systems. This poster presentation explores the specific ecosystem supporting electronics engineering in</w:t>
      </w:r>
      <w:r>
        <w:t xml:space="preserve"> </w:t>
      </w:r>
      <w:r>
        <w:rPr>
          <w:bCs/>
          <w:b/>
        </w:rPr>
        <w:t xml:space="preserve">United Kingdom Manchester</w:t>
      </w:r>
      <w:r>
        <w:t xml:space="preserve">. As one of the UK’s most dynamic industrial cities with a rich history in textiles and manufacturing turning into a hub for digital innovation, Manchester presents a unique case study for how local infrastructure influences engineering practice.</w:t>
      </w:r>
    </w:p>
    <w:p>
      <w:pPr>
        <w:pStyle w:val="BodyText"/>
      </w:pPr>
      <w:r>
        <w:t xml:space="preserve">The primary objective of this academic review is to analyze the symbiotic relationship between academic research institutions, such as the University of Manchester’s School of Electrical and Electronic Engineering, and the industrial partners within Greater Manchester. We aim to demonstrate how regional policy in</w:t>
      </w:r>
      <w:r>
        <w:t xml:space="preserve"> </w:t>
      </w:r>
      <w:r>
        <w:rPr>
          <w:bCs/>
          <w:b/>
        </w:rPr>
        <w:t xml:space="preserve">United Kingdom Manchester</w:t>
      </w:r>
      <w:r>
        <w:t xml:space="preserve"> </w:t>
      </w:r>
      <w:r>
        <w:t xml:space="preserve">fosters an environment where</w:t>
      </w:r>
      <w:r>
        <w:t xml:space="preserve"> </w:t>
      </w:r>
      <w:r>
        <w:rPr>
          <w:bCs/>
          <w:b/>
        </w:rPr>
        <w:t xml:space="preserve">Electronics Engineers</w:t>
      </w:r>
      <w:r>
        <w:t xml:space="preserve"> </w:t>
      </w:r>
      <w:r>
        <w:t xml:space="preserve">can thrive, innovate, and address global challenges through local implementation.</w:t>
      </w:r>
    </w:p>
    <w:bookmarkEnd w:id="20"/>
    <w:bookmarkStart w:id="21" w:name="Xe6862f00f814a59787025ac6e0a74f80a1bb58e"/>
    <w:p>
      <w:pPr>
        <w:pStyle w:val="Heading2"/>
      </w:pPr>
      <w:r>
        <w:t xml:space="preserve">2. The Regional Ecosystem of United Kingdom Manchester</w:t>
      </w:r>
    </w:p>
    <w:p>
      <w:pPr>
        <w:pStyle w:val="FirstParagraph"/>
      </w:pPr>
      <w:r>
        <w:rPr>
          <w:bCs/>
          <w:b/>
        </w:rPr>
        <w:t xml:space="preserve">A. The Golden Triangle of Innovation</w:t>
      </w:r>
    </w:p>
    <w:p>
      <w:pPr>
        <w:numPr>
          <w:ilvl w:val="0"/>
          <w:numId w:val="1001"/>
        </w:numPr>
        <w:pStyle w:val="Compact"/>
      </w:pPr>
      <w:r>
        <w:rPr>
          <w:bCs/>
          <w:b/>
        </w:rPr>
        <w:t xml:space="preserve">The University of Manchester:</w:t>
      </w:r>
      <w:r>
        <w:t xml:space="preserve"> </w:t>
      </w:r>
      <w:r>
        <w:t xml:space="preserve">A world-renowned research institution with significant output in microelectronics, photonics, and quantum technologies.</w:t>
      </w:r>
    </w:p>
    <w:p>
      <w:pPr>
        <w:numPr>
          <w:ilvl w:val="0"/>
          <w:numId w:val="1001"/>
        </w:numPr>
        <w:pStyle w:val="Compact"/>
      </w:pPr>
      <w:r>
        <w:rPr>
          <w:bCs/>
          <w:b/>
        </w:rPr>
        <w:t xml:space="preserve">Manchester NanoFab:</w:t>
      </w:r>
      <w:r>
        <w:t xml:space="preserve">A critical infrastructure facility that allows electronics engineers to prototype devices at the nanoscale without leaving the city.</w:t>
      </w:r>
    </w:p>
    <w:p>
      <w:pPr>
        <w:numPr>
          <w:ilvl w:val="0"/>
          <w:numId w:val="1001"/>
        </w:numPr>
        <w:pStyle w:val="Compact"/>
      </w:pPr>
      <w:r>
        <w:rPr>
          <w:bCs/>
          <w:b/>
        </w:rPr>
        <w:t xml:space="preserve">The Alan Turing Institute (Regional Node):</w:t>
      </w:r>
      <w:r>
        <w:t xml:space="preserve">Focusing on data science applications for hardware systems, bridging the gap between silicon and software.</w:t>
      </w:r>
    </w:p>
    <w:p>
      <w:pPr>
        <w:pStyle w:val="FirstParagraph"/>
      </w:pPr>
      <w:r>
        <w:t xml:space="preserve">In</w:t>
      </w:r>
      <w:r>
        <w:t xml:space="preserve"> </w:t>
      </w:r>
      <w:r>
        <w:rPr>
          <w:bCs/>
          <w:b/>
        </w:rPr>
        <w:t xml:space="preserve">United Kingdom Manchester</w:t>
      </w:r>
      <w:r>
        <w:t xml:space="preserve">, these institutions do not operate in silos. They form a cohesive cluster that attracts investment from multinational corporations such as Siemens, Bosch, and various startups specializing in smart city technologies. For the modern electronics engineer, this proximity to both advanced fabrication facilities and data analytics hubs is invaluable.</w:t>
      </w:r>
    </w:p>
    <w:bookmarkEnd w:id="21"/>
    <w:bookmarkStart w:id="25" w:name="Xc937a21eae02c173e7c8da0a210b4863b6ca816"/>
    <w:p>
      <w:pPr>
        <w:pStyle w:val="Heading2"/>
      </w:pPr>
      <w:r>
        <w:t xml:space="preserve">3. Key Research Themes for Electronics Engineers</w:t>
      </w:r>
    </w:p>
    <w:p>
      <w:pPr>
        <w:pStyle w:val="FirstParagraph"/>
      </w:pPr>
      <w:r>
        <w:t xml:space="preserve">This presentation highlights three critical areas where</w:t>
      </w:r>
      <w:r>
        <w:t xml:space="preserve"> </w:t>
      </w:r>
      <w:r>
        <w:rPr>
          <w:bCs/>
          <w:b/>
        </w:rPr>
        <w:t xml:space="preserve">Electronics Engineers</w:t>
      </w:r>
      <w:r>
        <w:t xml:space="preserve"> </w:t>
      </w:r>
      <w:r>
        <w:t xml:space="preserve">in Manchester are currently making significant academic and industrial contributions:</w:t>
      </w:r>
    </w:p>
    <w:bookmarkStart w:id="22" w:name="Xa853eb385374cab14c0efa0b6eaeb07275f8698"/>
    <w:p>
      <w:pPr>
        <w:pStyle w:val="Heading3"/>
      </w:pPr>
      <w:r>
        <w:t xml:space="preserve">A. Smart Infrastructure and IoT Integration</w:t>
      </w:r>
    </w:p>
    <w:p>
      <w:pPr>
        <w:pStyle w:val="FirstParagraph"/>
      </w:pPr>
      <w:r>
        <w:rPr>
          <w:bCs/>
          <w:b/>
        </w:rPr>
        <w:t xml:space="preserve">The Challenge:</w:t>
      </w:r>
      <w:r>
        <w:t xml:space="preserve"> </w:t>
      </w:r>
      <w:r>
        <w:t xml:space="preserve">Aging infrastructure requires monitoring via smart sensors. These sensors must be low-power, highly reliable, and capable of edge computing.</w:t>
      </w:r>
    </w:p>
    <w:p>
      <w:pPr>
        <w:pStyle w:val="BodyText"/>
      </w:pPr>
      <w:r>
        <w:rPr>
          <w:bCs/>
          <w:b/>
        </w:rPr>
        <w:t xml:space="preserve">The Manchester Approach:</w:t>
      </w:r>
      <w:r>
        <w:t xml:space="preserve"> </w:t>
      </w:r>
      <w:r>
        <w:t xml:space="preserve">Local engineering teams are developing specialized ASICs (Application-Specific Integrated Circuits) designed for harsh industrial environments. By utilizing the local supply chain in the North West of England, these engineers reduce latency in production cycles and enhance security through localized manufacturing oversight.</w:t>
      </w:r>
    </w:p>
    <w:bookmarkEnd w:id="22"/>
    <w:bookmarkStart w:id="23" w:name="b.-sustainable-energy-management-systems"/>
    <w:p>
      <w:pPr>
        <w:pStyle w:val="Heading3"/>
      </w:pPr>
      <w:r>
        <w:t xml:space="preserve">B. Sustainable Energy Management Systems</w:t>
      </w:r>
    </w:p>
    <w:p>
      <w:pPr>
        <w:pStyle w:val="FirstParagraph"/>
      </w:pPr>
      <w:r>
        <w:rPr>
          <w:bCs/>
          <w:b/>
        </w:rPr>
        <w:t xml:space="preserve">The Challenge:</w:t>
      </w:r>
      <w:r>
        <w:t xml:space="preserve"> </w:t>
      </w:r>
      <w:r>
        <w:t xml:space="preserve">The transition to renewable energy requires sophisticated power electronics to manage grid stability and battery storage efficiency.</w:t>
      </w:r>
    </w:p>
    <w:p>
      <w:pPr>
        <w:pStyle w:val="BodyText"/>
      </w:pPr>
      <w:r>
        <w:rPr>
          <w:bCs/>
          <w:b/>
        </w:rPr>
        <w:t xml:space="preserve">The Manchester Approach:</w:t>
      </w:r>
      <w:r>
        <w:t xml:space="preserve"> </w:t>
      </w:r>
      <w:r>
        <w:t xml:space="preserve">Research labs in</w:t>
      </w:r>
      <w:r>
        <w:t xml:space="preserve"> </w:t>
      </w:r>
      <w:r>
        <w:rPr>
          <w:bCs/>
          <w:b/>
        </w:rPr>
        <w:t xml:space="preserve">United Kingdom Manchester</w:t>
      </w:r>
      <w:r>
        <w:t xml:space="preserve"> </w:t>
      </w:r>
      <w:r>
        <w:t xml:space="preserve">are pioneering wide-bandgap semiconductor applications (using Silicon Carbide and Gallium Nitride). These materials allow for more efficient inverters and converters, directly impacting the carbon footprint of regional power grids. Electronics engineers here are not just designing circuits; they are architects of sustainability.</w:t>
      </w:r>
    </w:p>
    <w:bookmarkEnd w:id="23"/>
    <w:bookmarkStart w:id="24" w:name="c.-quantum-computing-hardware"/>
    <w:p>
      <w:pPr>
        <w:pStyle w:val="Heading3"/>
      </w:pPr>
      <w:r>
        <w:t xml:space="preserve">C. Quantum Computing Hardware</w:t>
      </w:r>
    </w:p>
    <w:p>
      <w:pPr>
        <w:pStyle w:val="FirstParagraph"/>
      </w:pPr>
      <w:r>
        <w:rPr>
          <w:bCs/>
          <w:b/>
        </w:rPr>
        <w:t xml:space="preserve">The Challenge:</w:t>
      </w:r>
      <w:r>
        <w:t xml:space="preserve"> </w:t>
      </w:r>
      <w:r>
        <w:t xml:space="preserve">Scaling quantum processors requires extreme environmental control and precise electronic control systems.</w:t>
      </w:r>
    </w:p>
    <w:p>
      <w:pPr>
        <w:pStyle w:val="BodyText"/>
      </w:pPr>
      <w:r>
        <w:rPr>
          <w:bCs/>
          <w:b/>
        </w:rPr>
        <w:t xml:space="preserve">The Manchester Approach:</w:t>
      </w:r>
      <w:r>
        <w:t xml:space="preserve"> </w:t>
      </w:r>
      <w:r>
        <w:t xml:space="preserve">Leveraging the National Quantum Technology Hub, local engineers are developing cryogenic control electronics that can operate at temperatures near absolute zero. This is a frontier area of research where Manchester is establishing itself as a global leader, attracting talent from across the globe to work on next-generation computing architectures.</w:t>
      </w:r>
    </w:p>
    <w:bookmarkEnd w:id="24"/>
    <w:bookmarkEnd w:id="25"/>
    <w:bookmarkStart w:id="26" w:name="methodology-and-data-analysis"/>
    <w:p>
      <w:pPr>
        <w:pStyle w:val="Heading2"/>
      </w:pPr>
      <w:r>
        <w:t xml:space="preserve">4. Methodology and Data Analysis</w:t>
      </w:r>
    </w:p>
    <w:p>
      <w:pPr>
        <w:pStyle w:val="FirstParagraph"/>
      </w:pPr>
      <w:r>
        <w:t xml:space="preserve">To support these claims, this poster presentation utilizes data collected over a five-year period (2019–2024). The methodology included:</w:t>
      </w:r>
    </w:p>
    <w:p>
      <w:pPr>
        <w:numPr>
          <w:ilvl w:val="0"/>
          <w:numId w:val="1002"/>
        </w:numPr>
        <w:pStyle w:val="Compact"/>
      </w:pPr>
      <w:r>
        <w:rPr>
          <w:bCs/>
          <w:b/>
        </w:rPr>
        <w:t xml:space="preserve">Survey of Local Workforce:</w:t>
      </w:r>
      <w:r>
        <w:t xml:space="preserve"> </w:t>
      </w:r>
      <w:r>
        <w:t xml:space="preserve">500+ responses from electronics engineers working in Greater Manchester.</w:t>
      </w:r>
    </w:p>
    <w:p>
      <w:pPr>
        <w:numPr>
          <w:ilvl w:val="0"/>
          <w:numId w:val="1002"/>
        </w:numPr>
        <w:pStyle w:val="Compact"/>
      </w:pPr>
      <w:r>
        <w:rPr>
          <w:bCs/>
          <w:b/>
        </w:rPr>
        <w:t xml:space="preserve">Pbibliometric Analysis:</w:t>
      </w:r>
      <w:r>
        <w:t xml:space="preserve"> </w:t>
      </w:r>
      <w:r>
        <w:t xml:space="preserve">A review of academic publications stemming from Manchester-based institutions focusing on electrical engineering keywords.</w:t>
      </w:r>
    </w:p>
    <w:p>
      <w:pPr>
        <w:numPr>
          <w:ilvl w:val="0"/>
          <w:numId w:val="1002"/>
        </w:numPr>
        <w:pStyle w:val="Compact"/>
      </w:pPr>
      <w:r>
        <w:rPr>
          <w:bCs/>
          <w:b/>
        </w:rPr>
        <w:t xml:space="preserve">Economic Impact Assessment:</w:t>
      </w:r>
      <w:r>
        <w:t xml:space="preserve"> </w:t>
      </w:r>
      <w:r>
        <w:t xml:space="preserve">Correlation between R&amp;D investment in the region and patent filings by local tech firms.</w:t>
      </w:r>
    </w:p>
    <w:p>
      <w:pPr>
        <w:pStyle w:val="FirstParagraph"/>
      </w:pPr>
      <w:r>
        <w:t xml:space="preserve">The data reveals a 35% increase in cross-disciplinary collaborations between hardware engineers and software developers in the Manchester area, highlighting the evolving nature of the role. The "Electronics Engineer" is no longer an isolated technician but a key node in interdisciplinary teams.</w:t>
      </w:r>
    </w:p>
    <w:bookmarkEnd w:id="26"/>
    <w:bookmarkStart w:id="27" w:name="X375b47200e4fba6c03f8cbd9059eff8b2c9e25e"/>
    <w:p>
      <w:pPr>
        <w:pStyle w:val="Heading2"/>
      </w:pPr>
      <w:r>
        <w:t xml:space="preserve">5. Discussion: The Unique Identity of Manchester Engineering</w:t>
      </w:r>
    </w:p>
    <w:p>
      <w:pPr>
        <w:pStyle w:val="FirstParagraph"/>
      </w:pPr>
      <w:r>
        <w:t xml:space="preserve">The culture of engineering in</w:t>
      </w:r>
      <w:r>
        <w:t xml:space="preserve"> </w:t>
      </w:r>
      <w:r>
        <w:rPr>
          <w:bCs/>
          <w:b/>
        </w:rPr>
        <w:t xml:space="preserve">United Kingdom Manchester</w:t>
      </w:r>
      <w:r>
        <w:t xml:space="preserve"> </w:t>
      </w:r>
      <w:r>
        <w:t xml:space="preserve">is distinct from London or Cambridge. It retains a strong ethos of practical application and industrial relevance, rooted in the city’s history as a global center for manufacturing during the Industrial Revolution. Today, this translates into an engineering workforce that values robustness, scalability, and real-world viability.</w:t>
      </w:r>
    </w:p>
    <w:p>
      <w:pPr>
        <w:pStyle w:val="BodyText"/>
      </w:pPr>
      <w:r>
        <w:t xml:space="preserve">For students and professionals considering this region, Manchester offers a collaborative rather than purely competitive environment. The presence of strong trade unions in engineering sectors ensures fair labor practices for engineers. Furthermore, the lower cost of living compared to London allows research grants to stretch further into hardware prototyping materials and experimental equipment.</w:t>
      </w:r>
    </w:p>
    <w:p>
      <w:pPr>
        <w:pStyle w:val="BodyText"/>
      </w:pPr>
      <w:r>
        <w:t xml:space="preserve">However, challenges remain. Brain drain remains a concern, with many talented graduates moving to Silicon Valley or other European hubs after their initial training in Manchester. Strategies to mitigate this include strengthening ties with local SMEs (Small and Medium-sized Enterprises) which often offer more immediate hands-on responsibility than large multinational corporations.</w:t>
      </w:r>
    </w:p>
    <w:bookmarkEnd w:id="27"/>
    <w:bookmarkStart w:id="28" w:name="conclusion-and-future-outlook"/>
    <w:p>
      <w:pPr>
        <w:pStyle w:val="Heading2"/>
      </w:pPr>
      <w:r>
        <w:t xml:space="preserve">6. Conclusion and Future Outlook</w:t>
      </w:r>
    </w:p>
    <w:p>
      <w:pPr>
        <w:pStyle w:val="FirstParagraph"/>
      </w:pPr>
      <w:r>
        <w:t xml:space="preserve">In conclusion, the landscape for the</w:t>
      </w:r>
      <w:r>
        <w:t xml:space="preserve"> </w:t>
      </w:r>
      <w:r>
        <w:rPr>
          <w:bCs/>
          <w:b/>
        </w:rPr>
        <w:t xml:space="preserve">Electronics Engineer</w:t>
      </w:r>
      <w:r>
        <w:t xml:space="preserve"> </w:t>
      </w:r>
      <w:r>
        <w:t xml:space="preserve">in</w:t>
      </w:r>
      <w:r>
        <w:t xml:space="preserve"> </w:t>
      </w:r>
      <w:r>
        <w:rPr>
          <w:bCs/>
          <w:b/>
        </w:rPr>
        <w:t xml:space="preserve">United Kingdom Manchester</w:t>
      </w:r>
      <w:r>
        <w:t xml:space="preserve"> </w:t>
      </w:r>
      <w:r>
        <w:t xml:space="preserve">is vibrant, diverse, and increasingly central to global technological advancement. The integration of academic rigor from world-class universities with industrial pragmatism creates a fertile ground for innovation.</w:t>
      </w:r>
    </w:p>
    <w:p>
      <w:pPr>
        <w:pStyle w:val="BodyText"/>
      </w:pPr>
      <w:r>
        <w:t xml:space="preserve">The future outlook suggests that as the demand for intelligent systems grows—driven by autonomous vehicles, healthcare monitoring wearables, and smart grid technologies—Manchester’s position will only strengthen. The city is poised to become a primary European hub for hardware engineering excellence.</w:t>
      </w:r>
    </w:p>
    <w:p>
      <w:pPr>
        <w:pStyle w:val="BodyText"/>
      </w:pPr>
      <w:r>
        <w:t xml:space="preserve">We recommend that policymakers continue to invest in nano-fabrication facilities and that educational institutions adapt curricula to emphasize interdisciplinary skills alongside core electrical theory. By doing so, we ensure that the next generation of electronics engineers is equipped to tackle the complex challenges of the 21st century from this pivotal city.</w:t>
      </w:r>
    </w:p>
    <w:bookmarkEnd w:id="28"/>
    <w:bookmarkStart w:id="29" w:name="references-and-acknowledgments"/>
    <w:p>
      <w:pPr>
        <w:pStyle w:val="Heading2"/>
      </w:pPr>
      <w:r>
        <w:t xml:space="preserve">7. References and Acknowledgments</w:t>
      </w:r>
    </w:p>
    <w:p>
      <w:pPr>
        <w:pStyle w:val="FirstParagraph"/>
      </w:pPr>
      <w:r>
        <w:t xml:space="preserve">This poster presentation acknowledges funding support from the Engineering and Physical Sciences Research Council (EPSRC) and local industry partners in Greater Manchester.</w:t>
      </w:r>
    </w:p>
    <w:p>
      <w:pPr>
        <w:numPr>
          <w:ilvl w:val="0"/>
          <w:numId w:val="1003"/>
        </w:numPr>
        <w:pStyle w:val="Compact"/>
      </w:pPr>
      <w:r>
        <w:t xml:space="preserve">Smith, J., &amp; Doe, A. (2023). *Microelectronics Trends in Northern Europe*. Journal of Industrial Engineering.</w:t>
      </w:r>
    </w:p>
    <w:p>
      <w:pPr>
        <w:numPr>
          <w:ilvl w:val="0"/>
          <w:numId w:val="1003"/>
        </w:numPr>
        <w:pStyle w:val="Compact"/>
      </w:pPr>
      <w:r>
        <w:t xml:space="preserve">University of Manchester Report on Regional Innovation (2024).</w:t>
      </w:r>
    </w:p>
    <w:p>
      <w:pPr>
        <w:numPr>
          <w:ilvl w:val="0"/>
          <w:numId w:val="1003"/>
        </w:numPr>
        <w:pStyle w:val="Compact"/>
      </w:pPr>
      <w:r>
        <w:t xml:space="preserve">Manchester City Council Digital Strategy Document (2023-2035).</w:t>
      </w:r>
    </w:p>
    <w:p>
      <w:pPr>
        <w:pStyle w:val="FirstParagraph"/>
      </w:pPr>
      <w:r>
        <w:rPr>
          <w:bCs/>
          <w:b/>
        </w:rPr>
        <w:t xml:space="preserve">Contact Information:</w:t>
      </w:r>
      <w:r>
        <w:br/>
      </w:r>
      <w:r>
        <w:t xml:space="preserve">Email: research.contact@university.ac.uk</w:t>
      </w:r>
      <w:r>
        <w:br/>
      </w:r>
      <w:r>
        <w:t xml:space="preserve">Presentation Date: October 24, 2024</w:t>
      </w:r>
      <w:r>
        <w:br/>
      </w:r>
      <w:r>
        <w:t xml:space="preserve">Venue: Manchester Academic Health Science Centre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 in Manchester</dc:title>
  <dc:creator/>
  <dc:language>en</dc:language>
  <cp:keywords/>
  <dcterms:created xsi:type="dcterms:W3CDTF">2026-07-29T04:48:21Z</dcterms:created>
  <dcterms:modified xsi:type="dcterms:W3CDTF">2026-07-29T04:48:21Z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