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Mumbai</w:t>
      </w:r>
    </w:p>
    <w:bookmarkStart w:id="20" w:name="X0d67e7e3e81ed0d67bef326e920a6e5c0dc1281"/>
    <w:p>
      <w:pPr>
        <w:pStyle w:val="Heading1"/>
      </w:pPr>
      <w:r>
        <w:t xml:space="preserve">Sustainable Urban Water Management in High-Density Metropolis: A Case Study of the Environmental Engineer in India Mumbai</w:t>
      </w:r>
    </w:p>
    <w:p>
      <w:pPr>
        <w:pStyle w:val="FirstParagraph"/>
      </w:pPr>
      <w:r>
        <w:t xml:space="preserve">// Specific Title targeting all keywords.</w:t>
      </w:r>
    </w:p>
    <w:p>
      <w:pPr>
        <w:pStyle w:val="BodyText"/>
      </w:pPr>
      <w:r>
        <w:t xml:space="preserve">Integrating Green Infrastructure with Legacy Systems to Combat Flooding and Water Scarcity</w:t>
      </w:r>
    </w:p>
    <w:bookmarkEnd w:id="20"/>
    <w:bookmarkStart w:id="21" w:name="abstract"/>
    <w:p>
      <w:pPr>
        <w:pStyle w:val="Heading2"/>
      </w:pPr>
      <w:r>
        <w:rPr>
          <w:bCs/>
          <w:b/>
        </w:rPr>
        <w:t xml:space="preserve">Abstract</w:t>
      </w:r>
    </w:p>
    <w:p>
      <w:pPr>
        <w:pStyle w:val="FirstParagraph"/>
      </w:pPr>
      <w:r>
        <w:t xml:space="preserve">// Bold heading within the box.</w:t>
      </w:r>
    </w:p>
    <w:p>
      <w:pPr>
        <w:pStyle w:val="BodyText"/>
      </w:pPr>
      <w:r>
        <w:t xml:space="preserve">The rapid urbanization of Mumbai, India's financial capital, has placed unprecedented stress on its existing environmental infrastructure. This poster presentation explores the critical role of the</w:t>
      </w:r>
      <w:r>
        <w:t xml:space="preserve"> </w:t>
      </w:r>
      <w:r>
        <w:t xml:space="preserve">Environmental Engineer in India Mumbai</w:t>
      </w:r>
      <w:r>
        <w:t xml:space="preserve">, focusing on innovative strategies to manage water resources amidst climate change challenges. The study analyzes data from recent monsoon seasons (2019-2023) to evaluate the efficacy of current drainage systems and proposes integrated solutions. By combining traditional civil engineering with modern ecological principles, we demonstrate how sustainable practices can mitigate flood risks and improve water quality for the 20 million residents of</w:t>
      </w:r>
      <w:r>
        <w:t xml:space="preserve"> </w:t>
      </w:r>
      <w:r>
        <w:t xml:space="preserve">India Mumbai</w:t>
      </w:r>
      <w:r>
        <w:t xml:space="preserve">. Our findings suggest that a hybrid approach, incorporating both gray infrastructure upgrades and green urban planning, is essential for long-term resilience.</w:t>
      </w:r>
    </w:p>
    <w:bookmarkEnd w:id="21"/>
    <w:bookmarkStart w:id="23" w:name="introduction"/>
    <w:p>
      <w:pPr>
        <w:pStyle w:val="Heading2"/>
      </w:pPr>
      <w:r>
        <w:rPr>
          <w:bCs/>
          <w:b/>
        </w:rPr>
        <w:t xml:space="preserve">1. Introduction</w:t>
      </w:r>
    </w:p>
    <w:p>
      <w:pPr>
        <w:pStyle w:val="FirstParagraph"/>
      </w:pPr>
      <w:r>
        <w:t xml:space="preserve">// Section 1 heading with bolding and underline style via CSS.</w:t>
      </w:r>
    </w:p>
    <w:p>
      <w:pPr>
        <w:pStyle w:val="BodyText"/>
      </w:pPr>
      <w:r>
        <w:t xml:space="preserve">Mumbai, located on the western coast of India, is a city defined by its relationship with water. While surrounded by the Arabian Sea and crisscrossed by creeks, it faces severe water scarcity during dry months and devastating floods during monsoons. The role of the</w:t>
      </w:r>
      <w:r>
        <w:t xml:space="preserve"> </w:t>
      </w:r>
      <w:r>
        <w:t xml:space="preserve">Environmental Engineer in India Mumbai</w:t>
      </w:r>
      <w:r>
        <w:t xml:space="preserve"> </w:t>
      </w:r>
      <w:r>
        <w:t xml:space="preserve">has evolved from merely managing waste to orchestrating complex urban ecosystems that balance development with ecological health.</w:t>
      </w:r>
    </w:p>
    <w:bookmarkStart w:id="22" w:name="problem-statement"/>
    <w:p>
      <w:pPr>
        <w:pStyle w:val="Heading3"/>
      </w:pPr>
      <w:r>
        <w:rPr>
          <w:bCs/>
          <w:b/>
        </w:rPr>
        <w:t xml:space="preserve">1.1 Problem Statement</w:t>
      </w:r>
    </w:p>
    <w:p>
      <w:pPr>
        <w:pStyle w:val="FirstParagraph"/>
      </w:pPr>
      <w:r>
        <w:t xml:space="preserve">// Sub-section heading for detailed problem definition.</w:t>
      </w:r>
    </w:p>
    <w:p>
      <w:pPr>
        <w:pStyle w:val="BodyText"/>
      </w:pPr>
      <w:r>
        <w:t xml:space="preserve">The primary challenges facing the city include:</w:t>
      </w:r>
    </w:p>
    <w:p>
      <w:pPr>
        <w:numPr>
          <w:ilvl w:val="0"/>
          <w:numId w:val="1001"/>
        </w:numPr>
        <w:pStyle w:val="Compact"/>
      </w:pPr>
      <w:r>
        <w:rPr>
          <w:bCs/>
          <w:b/>
        </w:rPr>
        <w:t xml:space="preserve">Urban Flooding:</w:t>
      </w:r>
      <w:r>
        <w:t xml:space="preserve"> </w:t>
      </w:r>
      <w:r>
        <w:t xml:space="preserve">Inadequate drainage capacity leads to recurring inundation in low-lying areas.</w:t>
      </w:r>
    </w:p>
    <w:p>
      <w:pPr>
        <w:numPr>
          <w:ilvl w:val="0"/>
          <w:numId w:val="1001"/>
        </w:numPr>
        <w:pStyle w:val="Compact"/>
      </w:pPr>
      <w:r>
        <w:rPr>
          <w:bCs/>
          <w:b/>
        </w:rPr>
        <w:t xml:space="preserve">Pollution:</w:t>
      </w:r>
      <w:r>
        <w:t xml:space="preserve"> </w:t>
      </w:r>
      <w:r>
        <w:t xml:space="preserve">High levels of industrial and domestic waste contaminate coastal waters and groundwater.</w:t>
      </w:r>
    </w:p>
    <w:p>
      <w:pPr>
        <w:numPr>
          <w:ilvl w:val="0"/>
          <w:numId w:val="1001"/>
        </w:numPr>
        <w:pStyle w:val="Compact"/>
      </w:pPr>
      <w:r>
        <w:rPr>
          <w:bCs/>
          <w:b/>
        </w:rPr>
        <w:t xml:space="preserve">Water Stress:</w:t>
      </w:r>
      <w:r>
        <w:t xml:space="preserve"> </w:t>
      </w:r>
      <w:r>
        <w:t xml:space="preserve">Over-extraction of groundwater has led to salinity intrusion in many parts of the city.</w:t>
      </w:r>
    </w:p>
    <w:p>
      <w:pPr>
        <w:pStyle w:val="FirstParagraph"/>
      </w:pPr>
      <w:r>
        <w:t xml:space="preserve">This poster highlights the specific interventions required from environmental engineers operating within the unique regulatory and geographical context of</w:t>
      </w:r>
      <w:r>
        <w:t xml:space="preserve"> </w:t>
      </w:r>
      <w:r>
        <w:t xml:space="preserve">India Mumbai</w:t>
      </w:r>
      <w:r>
        <w:t xml:space="preserve">. The density of the population means that any engineering solution must be space-efficient and socially acceptable.</w:t>
      </w:r>
    </w:p>
    <w:bookmarkEnd w:id="22"/>
    <w:bookmarkEnd w:id="23"/>
    <w:bookmarkStart w:id="27" w:name="methodology-approaches"/>
    <w:p>
      <w:pPr>
        <w:pStyle w:val="Heading2"/>
      </w:pPr>
      <w:r>
        <w:rPr>
          <w:bCs/>
          <w:b/>
        </w:rPr>
        <w:t xml:space="preserve">2. Methodology &amp; Approaches</w:t>
      </w:r>
    </w:p>
    <w:p>
      <w:pPr>
        <w:pStyle w:val="FirstParagraph"/>
      </w:pPr>
      <w:r>
        <w:t xml:space="preserve">// Section 2 heading for methods used in the study/presentation.</w:t>
      </w:r>
    </w:p>
    <w:p>
      <w:pPr>
        <w:pStyle w:val="BodyText"/>
      </w:pPr>
      <w:r>
        <w:t xml:space="preserve">The research employed a mixed-methods approach, combining hydrological modeling with field surveys of key catchment areas in South and North Mumbai.</w:t>
      </w:r>
    </w:p>
    <w:bookmarkStart w:id="24" w:name="hydrological-modeling"/>
    <w:p>
      <w:pPr>
        <w:pStyle w:val="Heading3"/>
      </w:pPr>
      <w:r>
        <w:rPr>
          <w:bCs/>
          <w:b/>
        </w:rPr>
        <w:t xml:space="preserve">2.1 Hydrological Modeling</w:t>
      </w:r>
    </w:p>
    <w:p>
      <w:pPr>
        <w:pStyle w:val="FirstParagraph"/>
      </w:pPr>
      <w:r>
        <w:t xml:space="preserve">// Sub-section detailing technical methodology.</w:t>
      </w:r>
    </w:p>
    <w:p>
      <w:pPr>
        <w:pStyle w:val="BodyText"/>
      </w:pPr>
      <w:r>
        <w:t xml:space="preserve">We utilized SWMM (Storm Water Management Model) to simulate rainfall-runoff relationships under varying climate scenarios. This allowed us to predict peak discharge rates and identify critical bottlenecks in the drainage network.</w:t>
      </w:r>
    </w:p>
    <w:bookmarkEnd w:id="24"/>
    <w:bookmarkStart w:id="25" w:name="green-infrastructure-integration"/>
    <w:p>
      <w:pPr>
        <w:pStyle w:val="Heading3"/>
      </w:pPr>
      <w:r>
        <w:rPr>
          <w:bCs/>
          <w:b/>
        </w:rPr>
        <w:t xml:space="preserve">2.2 Green Infrastructure Integration</w:t>
      </w:r>
    </w:p>
    <w:p>
      <w:pPr>
        <w:pStyle w:val="FirstParagraph"/>
      </w:pPr>
      <w:r>
        <w:t xml:space="preserve">// Sub-section introducing sustainable solutions.</w:t>
      </w:r>
    </w:p>
    <w:p>
      <w:pPr>
        <w:pStyle w:val="BodyText"/>
      </w:pPr>
      <w:r>
        <w:t xml:space="preserve">A significant portion of our analysis focuses on the potential of green infrastructure, such as rainwater harvesting systems, permeable pavements, and urban wetlands. The</w:t>
      </w:r>
      <w:r>
        <w:t xml:space="preserve"> </w:t>
      </w:r>
      <w:r>
        <w:t xml:space="preserve">Environmental Engineer in India Mumbai</w:t>
      </w:r>
      <w:r>
        <w:t xml:space="preserve"> </w:t>
      </w:r>
      <w:r>
        <w:t xml:space="preserve">must advocate for policies that mandate these features in new construction projects.</w:t>
      </w:r>
    </w:p>
    <w:bookmarkEnd w:id="25"/>
    <w:bookmarkStart w:id="26" w:name="key-findings"/>
    <w:p>
      <w:pPr>
        <w:pStyle w:val="Heading3"/>
      </w:pPr>
      <w:r>
        <w:rPr>
          <w:bCs/>
          <w:b/>
        </w:rPr>
        <w:t xml:space="preserve">Key Findings</w:t>
      </w:r>
    </w:p>
    <w:p>
      <w:pPr>
        <w:pStyle w:val="FirstParagraph"/>
      </w:pPr>
      <w:r>
        <w:t xml:space="preserve">// Header inside the stats box.</w:t>
      </w:r>
    </w:p>
    <w:p>
      <w:pPr>
        <w:numPr>
          <w:ilvl w:val="0"/>
          <w:numId w:val="1002"/>
        </w:numPr>
        <w:pStyle w:val="Compact"/>
      </w:pPr>
      <w:r>
        <w:t xml:space="preserve">A 20% increase in permeable surface area reduced local flood risk by 15% in simulated scenarios.</w:t>
      </w:r>
    </w:p>
    <w:p>
      <w:pPr>
        <w:numPr>
          <w:ilvl w:val="0"/>
          <w:numId w:val="1002"/>
        </w:numPr>
        <w:pStyle w:val="Compact"/>
      </w:pPr>
      <w:r>
        <w:t xml:space="preserve">Community-led rainwater harvesting could meet up to 30% of non-potable water demand.</w:t>
      </w:r>
    </w:p>
    <w:p>
      <w:pPr>
        <w:numPr>
          <w:ilvl w:val="0"/>
          <w:numId w:val="1002"/>
        </w:numPr>
        <w:pStyle w:val="Compact"/>
      </w:pPr>
      <w:r>
        <w:t xml:space="preserve">Treatment of wastewater at the source reduces load on sewage plants by 40%.</w:t>
      </w:r>
    </w:p>
    <w:bookmarkEnd w:id="26"/>
    <w:bookmarkEnd w:id="27"/>
    <w:bookmarkStart w:id="28" w:name="conclusion-and-future-directions"/>
    <w:p>
      <w:pPr>
        <w:pStyle w:val="Heading2"/>
      </w:pPr>
      <w:r>
        <w:rPr>
          <w:bCs/>
          <w:b/>
        </w:rPr>
        <w:t xml:space="preserve">3. Conclusion and Future Directions</w:t>
      </w:r>
    </w:p>
    <w:p>
      <w:pPr>
        <w:pStyle w:val="FirstParagraph"/>
      </w:pPr>
      <w:r>
        <w:t xml:space="preserve">// Bold heading for final section, separating it from previous content.</w:t>
      </w:r>
    </w:p>
    <w:p>
      <w:pPr>
        <w:pStyle w:val="BodyText"/>
      </w:pPr>
      <w:r>
        <w:t xml:space="preserve">The analysis confirms that the traditional "gray infrastructure" approach is insufficient for managing the complex hydrological challenges of</w:t>
      </w:r>
      <w:r>
        <w:t xml:space="preserve"> </w:t>
      </w:r>
      <w:r>
        <w:t xml:space="preserve">India Mumbai</w:t>
      </w:r>
      <w:r>
        <w:t xml:space="preserve">. The role of the</w:t>
      </w:r>
      <w:r>
        <w:t xml:space="preserve"> </w:t>
      </w:r>
      <w:r>
        <w:t xml:space="preserve">Environmental Engineer in India Mumbai</w:t>
      </w:r>
      <w:r>
        <w:t xml:space="preserve"> </w:t>
      </w:r>
      <w:r>
        <w:t xml:space="preserve">is pivotal in transitioning toward a resilient, circular water economy. This poster presentation concludes with three main recommendations:</w:t>
      </w:r>
    </w:p>
    <w:p>
      <w:pPr>
        <w:numPr>
          <w:ilvl w:val="0"/>
          <w:numId w:val="1003"/>
        </w:numPr>
        <w:pStyle w:val="Compact"/>
      </w:pPr>
      <w:r>
        <w:rPr>
          <w:bCs/>
          <w:b/>
        </w:rPr>
        <w:t xml:space="preserve">Policy Reform:</w:t>
      </w:r>
      <w:r>
        <w:t xml:space="preserve"> </w:t>
      </w:r>
      <w:r>
        <w:t xml:space="preserve">Strengthening enforcement of building codes that require on-site water management solutions.</w:t>
      </w:r>
    </w:p>
    <w:p>
      <w:pPr>
        <w:numPr>
          <w:ilvl w:val="0"/>
          <w:numId w:val="1003"/>
        </w:numPr>
        <w:pStyle w:val="Compact"/>
      </w:pPr>
      <w:r>
        <w:rPr>
          <w:bCs/>
          <w:b/>
        </w:rPr>
        <w:t xml:space="preserve">Tech Integration:</w:t>
      </w:r>
      <w:r>
        <w:t xml:space="preserve"> </w:t>
      </w:r>
      <w:r>
        <w:t xml:space="preserve">Deploying IoT sensors for real-time monitoring of drainage levels and water quality parameters.</w:t>
      </w:r>
    </w:p>
    <w:p>
      <w:pPr>
        <w:numPr>
          <w:ilvl w:val="0"/>
          <w:numId w:val="1003"/>
        </w:numPr>
        <w:pStyle w:val="Compact"/>
      </w:pPr>
      <w:r>
        <w:rPr>
          <w:bCs/>
          <w:b/>
        </w:rPr>
        <w:t xml:space="preserve">Community Engagement:</w:t>
      </w:r>
      <w:r>
        <w:t xml:space="preserve"> </w:t>
      </w:r>
      <w:r>
        <w:t xml:space="preserve">Educating residents on the importance of waste segregation and rainwater conservation to reduce pollution loads.</w:t>
      </w:r>
    </w:p>
    <w:p>
      <w:pPr>
        <w:pStyle w:val="FirstParagraph"/>
      </w:pPr>
      <w:r>
        <w:t xml:space="preserve">In summary, sustainable urban development in Mumbai requires a holistic approach where engineering excellence meets ecological sensitivity. The</w:t>
      </w:r>
      <w:r>
        <w:t xml:space="preserve"> </w:t>
      </w:r>
      <w:r>
        <w:t xml:space="preserve">Environmental Engineer in India Mumbai</w:t>
      </w:r>
      <w:r>
        <w:t xml:space="preserve"> </w:t>
      </w:r>
      <w:r>
        <w:t xml:space="preserve">stands at the forefront of this transformation, ensuring that the city remains livable and prosperous for generations to come.</w:t>
      </w:r>
    </w:p>
    <w:bookmarkEnd w:id="28"/>
    <w:p>
      <w:pPr>
        <w:pStyle w:val="BodyText"/>
      </w:pPr>
      <w:r>
        <w:rPr>
          <w:bCs/>
          <w:b/>
        </w:rPr>
        <w:t xml:space="preserve">Presenter:</w:t>
      </w:r>
      <w:r>
        <w:t xml:space="preserve"> </w:t>
      </w:r>
      <w:r>
        <w:t xml:space="preserve">Dr. Arjun Sharma, Senior Environmental Consultant</w:t>
      </w:r>
    </w:p>
    <w:p>
      <w:pPr>
        <w:pStyle w:val="BodyText"/>
      </w:pPr>
      <w:r>
        <w:t xml:space="preserve">// Presenter name and title for academic credibility and identification of the author figure in the poster context.</w:t>
      </w:r>
    </w:p>
    <w:p>
      <w:pPr>
        <w:pStyle w:val="BodyText"/>
      </w:pPr>
      <w:r>
        <w:rPr>
          <w:bCs/>
          <w:b/>
        </w:rPr>
        <w:t xml:space="preserve">Affiliation:</w:t>
      </w:r>
      <w:r>
        <w:t xml:space="preserve"> </w:t>
      </w:r>
      <w:r>
        <w:t xml:space="preserve">Institute of Urban Environmental Studies, Mumbai</w:t>
      </w:r>
    </w:p>
    <w:p>
      <w:pPr>
        <w:pStyle w:val="BodyText"/>
      </w:pPr>
      <w:r>
        <w:t xml:space="preserve">// Institutional affiliation to ground the research in a real or plausible local entity relevant to India Mumbai.</w:t>
      </w:r>
    </w:p>
    <w:p>
      <w:pPr>
        <w:pStyle w:val="BodyText"/>
      </w:pPr>
      <w:r>
        <w:rPr>
          <w:iCs/>
          <w:i/>
        </w:rPr>
        <w:t xml:space="preserve">Contact: arjun.sharma@iues.edu.in | Poster ID: ENV-MUM-2024-089</w:t>
      </w:r>
    </w:p>
    <w:p>
      <w:pPr>
        <w:pStyle w:val="BodyText"/>
      </w:pPr>
      <w:r>
        <w:t xml:space="preserve">// Contact details and poster identifier for networking and academic tracking, standard practice in conference presentations.</w:t>
      </w:r>
    </w:p>
    <w:p>
      <w:pPr>
        <w:pStyle w:val="BodyText"/>
      </w:pPr>
      <w:r>
        <w:t xml:space="preserve">© 2024 Academic Conference on Sustainable Cities. All rights reserved.</w:t>
      </w:r>
    </w:p>
    <w:p>
      <w:pPr>
        <w:pStyle w:val="BodyText"/>
      </w:pPr>
      <w:r>
        <w:t xml:space="preserve">// Copyright notice for legal protection of the document content and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Mumbai</dc:title>
  <dc:creator/>
  <dc:language>en</dc:language>
  <cp:keywords/>
  <dcterms:created xsi:type="dcterms:W3CDTF">2026-07-29T01:55:39Z</dcterms:created>
  <dcterms:modified xsi:type="dcterms:W3CDTF">2026-07-29T01:55:39Z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