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Analyst</w:t>
      </w:r>
      <w:r>
        <w:t xml:space="preserve"> </w:t>
      </w:r>
      <w:r>
        <w:t xml:space="preserve">in</w:t>
      </w:r>
      <w:r>
        <w:t xml:space="preserve"> </w:t>
      </w:r>
      <w:r>
        <w:t xml:space="preserve">Sydney</w:t>
      </w:r>
    </w:p>
    <w:bookmarkStart w:id="20" w:name="Xfd48333db0879b652e824fd067a97606ce575a1"/>
    <w:p>
      <w:pPr>
        <w:pStyle w:val="Heading1"/>
      </w:pPr>
      <w:r>
        <w:t xml:space="preserve">Strategic Financial Analysis in the Asia-Pacific Hub</w:t>
      </w:r>
    </w:p>
    <w:p>
      <w:pPr>
        <w:pStyle w:val="FirstParagraph"/>
      </w:pPr>
      <w:r>
        <w:t xml:space="preserve">Navigating Complexity, Value Creation, and Regulatory Compliance for the Modern Financial Analyst</w:t>
      </w:r>
    </w:p>
    <w:p>
      <w:pPr>
        <w:pStyle w:val="BodyText"/>
      </w:pPr>
      <w:r>
        <w:t xml:space="preserve">**Academic Poster Presentation***</w:t>
      </w:r>
      <w:r>
        <w:br/>
      </w:r>
      <w:r>
        <w:t xml:space="preserve">*Prepared for the Sydney Economic Forum</w:t>
      </w:r>
      <w:r>
        <w:br/>
      </w:r>
      <w:r>
        <w:t xml:space="preserve">*Sydney, Australia</w:t>
      </w:r>
    </w:p>
    <w:bookmarkEnd w:id="20"/>
    <w:bookmarkStart w:id="21" w:name="introduction-context-the-sydney-market"/>
    <w:p>
      <w:pPr>
        <w:pStyle w:val="Heading2"/>
      </w:pPr>
      <w:r>
        <w:t xml:space="preserve">Introduction &amp; Context: The Sydney Market</w:t>
      </w:r>
    </w:p>
    <w:p>
      <w:pPr>
        <w:pStyle w:val="FirstParagraph"/>
      </w:pPr>
      <w:r>
        <w:t xml:space="preserve">Sydney stands as the undisputed financial capital of Australia and a critical node in the broader Asia-Pacific economic ecosystem. As a Financial Analyst operating within this dynamic jurisdiction, one must navigate not only global macroeconomic trends but also specific local regulatory frameworks and market nuances. This presentation outlines the evolving role of the Financial Analyst in Sydney, emphasizing strategic decision-making, risk management, and adherence to Australian Accounting Standards.</w:t>
      </w:r>
    </w:p>
    <w:p>
      <w:pPr>
        <w:pStyle w:val="BodyText"/>
      </w:pPr>
      <w:r>
        <w:t xml:space="preserve">The unique position of Australia as a resource-rich economy with a strong services sector creates a distinct analytical landscape. For the modern Financial Analyst in Sydney, understanding the interplay between commodity prices (particularly iron ore and coal), interest rate decisions by the Reserve Bank of Australia (RBA), and global geopolitical tensions is paramount. This document serves as an academic overview of these critical competencies.</w:t>
      </w:r>
    </w:p>
    <w:bookmarkEnd w:id="21"/>
    <w:bookmarkStart w:id="22" w:name="core-competencies-analytical-frameworks"/>
    <w:p>
      <w:pPr>
        <w:pStyle w:val="Heading2"/>
      </w:pPr>
      <w:r>
        <w:t xml:space="preserve">Core Competencies &amp; Analytical Frameworks</w:t>
      </w:r>
    </w:p>
    <w:p>
      <w:pPr>
        <w:pStyle w:val="FirstParagraph"/>
      </w:pPr>
      <w:r>
        <w:t xml:space="preserve">The role of a Financial Analyst in Sydney extends beyond traditional bookkeeping. It requires a sophisticated application of quantitative and qualitative analysis to drive corporate strategy. Key competencies include:</w:t>
      </w:r>
    </w:p>
    <w:p>
      <w:pPr>
        <w:numPr>
          <w:ilvl w:val="0"/>
          <w:numId w:val="1001"/>
        </w:numPr>
        <w:pStyle w:val="Compact"/>
      </w:pPr>
      <w:r>
        <w:rPr>
          <w:bCs/>
          <w:b/>
        </w:rPr>
        <w:t xml:space="preserve">Financial Modeling &amp; Forecasting:</w:t>
      </w:r>
      <w:r>
        <w:t xml:space="preserve"> </w:t>
      </w:r>
      <w:r>
        <w:t xml:space="preserve">Utilizing advanced Excel and Python tools to build robust models that predict cash flow scenarios under various economic conditions specific to the Australian market.</w:t>
      </w:r>
    </w:p>
    <w:p>
      <w:pPr>
        <w:numPr>
          <w:ilvl w:val="0"/>
          <w:numId w:val="1001"/>
        </w:numPr>
        <w:pStyle w:val="Compact"/>
      </w:pPr>
      <w:r>
        <w:rPr>
          <w:bCs/>
          <w:b/>
        </w:rPr>
        <w:t xml:space="preserve">Risk Management:</w:t>
      </w:r>
      <w:r>
        <w:t xml:space="preserve"> </w:t>
      </w:r>
      <w:r>
        <w:t xml:space="preserve">Implementing Value at Risk (VaR) models and stress-testing portfolios against potential shocks, such as housing market corrections or changes in immigration policies affecting labor supply.</w:t>
      </w:r>
    </w:p>
    <w:p>
      <w:pPr>
        <w:numPr>
          <w:ilvl w:val="0"/>
          <w:numId w:val="1001"/>
        </w:numPr>
        <w:pStyle w:val="Compact"/>
      </w:pPr>
      <w:r>
        <w:rPr>
          <w:bCs/>
          <w:b/>
        </w:rPr>
        <w:t xml:space="preserve">Data Visualization:</w:t>
      </w:r>
      <w:r>
        <w:t xml:space="preserve"> </w:t>
      </w:r>
      <w:r>
        <w:t xml:space="preserve">Communicating complex financial data to stakeholders through intuitive dashboards using tools like Power BI or Tableau, ensuring clarity for non-financial executives.</w:t>
      </w:r>
    </w:p>
    <w:p>
      <w:pPr>
        <w:pStyle w:val="FirstParagraph"/>
      </w:pPr>
      <w:r>
        <w:rPr>
          <w:bCs/>
          <w:b/>
        </w:rPr>
        <w:t xml:space="preserve">Australian Context:</w:t>
      </w:r>
      <w:r>
        <w:t xml:space="preserve">* Analysts must specifically account for the impact of GST (Goods and Services Tax)* variations* and state-based land taxes which differ significantly between New South Wales and other jurisdictions.</w:t>
      </w:r>
    </w:p>
    <w:bookmarkEnd w:id="22"/>
    <w:bookmarkStart w:id="23" w:name="regulatory-compliance-ethical-standards"/>
    <w:p>
      <w:pPr>
        <w:pStyle w:val="Heading2"/>
      </w:pPr>
      <w:r>
        <w:t xml:space="preserve">Regulatory Compliance &amp; Ethical Standards</w:t>
      </w:r>
    </w:p>
    <w:p>
      <w:pPr>
        <w:pStyle w:val="FirstParagraph"/>
      </w:pPr>
      <w:r>
        <w:t xml:space="preserve">In Sydney, the regulatory environment is rigorous and heavily enforced by bodies such as the Australian Securities and Investments Commission (ASIC) and the Australian Accounting Standards Board (AASB). A proficient Financial Analyst must maintain strict compliance with:</w:t>
      </w:r>
    </w:p>
    <w:p>
      <w:pPr>
        <w:numPr>
          <w:ilvl w:val="0"/>
          <w:numId w:val="1002"/>
        </w:numPr>
        <w:pStyle w:val="Compact"/>
      </w:pPr>
      <w:r>
        <w:rPr>
          <w:bCs/>
          <w:b/>
        </w:rPr>
        <w:t xml:space="preserve">AASB 9 &amp; IFRS Convergence:</w:t>
      </w:r>
      <w:r>
        <w:t xml:space="preserve">* Understanding how international financial reporting standards are adapted for Australian entities. This includes complex recognition criteria for financial instruments and hedge accounting.</w:t>
      </w:r>
    </w:p>
    <w:p>
      <w:pPr>
        <w:numPr>
          <w:ilvl w:val="0"/>
          <w:numId w:val="1002"/>
        </w:numPr>
        <w:pStyle w:val="Compact"/>
      </w:pPr>
      <w:r>
        <w:rPr>
          <w:bCs/>
          <w:b/>
        </w:rPr>
        <w:t xml:space="preserve">CORPORATE LAW ACT 2001 (Cth):*</w:t>
      </w:r>
      <w:r>
        <w:t xml:space="preserve"> </w:t>
      </w:r>
      <w:r>
        <w:t xml:space="preserve">Ensuring accurate disclosure of material information to prevent market manipulation and ensure transparency.</w:t>
      </w:r>
    </w:p>
    <w:p>
      <w:pPr>
        <w:numPr>
          <w:ilvl w:val="0"/>
          <w:numId w:val="1002"/>
        </w:numPr>
        <w:pStyle w:val="Compact"/>
      </w:pPr>
      <w:r>
        <w:rPr>
          <w:bCs/>
          <w:b/>
        </w:rPr>
        <w:t xml:space="preserve">AUSTRAC Compliance:</w:t>
      </w:r>
      <w:r>
        <w:t xml:space="preserve">* For analysts dealing with cross-border transactions, understanding anti-money laundering (AML) and counter-terrorism financing (CTF) regulations is essential.</w:t>
      </w:r>
    </w:p>
    <w:p>
      <w:pPr>
        <w:pStyle w:val="FirstParagraph"/>
      </w:pPr>
      <w:r>
        <w:t xml:space="preserve">Ethical conduct is not merely a guideline but a legal requirement in the Australian financial sector. Analysts must uphold the integrity expected by professional bodies such as CPA Australia and CA ANZ, ensuring that all financial representations are fair, neutral, and free from bias.</w:t>
      </w:r>
    </w:p>
    <w:bookmarkEnd w:id="23"/>
    <w:bookmarkStart w:id="24" w:name="digital-transformation-fintech"/>
    <w:p>
      <w:pPr>
        <w:pStyle w:val="Heading2"/>
      </w:pPr>
      <w:r>
        <w:t xml:space="preserve">Digital Transformation &amp; Fintech</w:t>
      </w:r>
    </w:p>
    <w:p>
      <w:pPr>
        <w:pStyle w:val="FirstParagraph"/>
      </w:pPr>
      <w:r>
        <w:t xml:space="preserve">Sydney is rapidly emerging as a fintech hub in the Asia-Pacific region. Financial Analysts are increasingly required to integrate technology into their traditional roles. This includes:</w:t>
      </w:r>
    </w:p>
    <w:p>
      <w:pPr>
        <w:numPr>
          <w:ilvl w:val="0"/>
          <w:numId w:val="1003"/>
        </w:numPr>
        <w:pStyle w:val="Compact"/>
      </w:pPr>
      <w:r>
        <w:rPr>
          <w:bCs/>
          <w:b/>
        </w:rPr>
        <w:t xml:space="preserve">Automation of Reporting:</w:t>
      </w:r>
      <w:r>
        <w:t xml:space="preserve">* Leveraging robotic process automation (RPA) to handle repetitive data entry tasks, allowing analysts to focus on strategic interpretation.</w:t>
      </w:r>
    </w:p>
    <w:p>
      <w:pPr>
        <w:numPr>
          <w:ilvl w:val="0"/>
          <w:numId w:val="1003"/>
        </w:numPr>
        <w:pStyle w:val="Compact"/>
      </w:pPr>
      <w:r>
        <w:t xml:space="preserve">Cryptocurrency &amp; Digital Assets:* * As Australia explores the regulation of digital assets, analysts must develop frameworks for valuing and reporting cryptocurrency holdings in corporate balance sheets.</w:t>
      </w:r>
    </w:p>
    <w:p>
      <w:pPr>
        <w:numPr>
          <w:ilvl w:val="0"/>
          <w:numId w:val="1003"/>
        </w:numPr>
        <w:pStyle w:val="Compact"/>
      </w:pPr>
      <w:r>
        <w:rPr>
          <w:bCs/>
          <w:b/>
        </w:rPr>
        <w:t xml:space="preserve">AI-Driven Insights:</w:t>
      </w:r>
      <w:r>
        <w:t xml:space="preserve">* Utilizing machine learning algorithms to detect anomalies in transaction data and predict customer creditworthiness with greater accuracy than traditional statistical models.</w:t>
      </w:r>
    </w:p>
    <w:p>
      <w:pPr>
        <w:pStyle w:val="FirstParagraph"/>
      </w:pPr>
      <w:r>
        <w:t xml:space="preserve">The integration of these technologies requires a continuous learning mindset. Financial Analysts in Sydney must stay abreast of technological advancements to maintain competitive relevance in the job market.</w:t>
      </w:r>
    </w:p>
    <w:bookmarkEnd w:id="24"/>
    <w:bookmarkStart w:id="25" w:name="X45ed51513f2934a7efc1a201e7fa2ce30e5053a"/>
    <w:p>
      <w:pPr>
        <w:pStyle w:val="Heading2"/>
      </w:pPr>
      <w:r>
        <w:t xml:space="preserve">Case Study: Managing Interest Rate Volatility</w:t>
      </w:r>
    </w:p>
    <w:p>
      <w:pPr>
        <w:pStyle w:val="FirstParagraph"/>
      </w:pPr>
      <w:r>
        <w:t xml:space="preserve">To illustrate the practical application of financial analysis, consider a hypothetical Sydney-based retail corporation. In response to recent RBA interest rate hikes aimed at curbing inflation, the company faced rising borrowing costs and reduced consumer spending power.</w:t>
      </w:r>
    </w:p>
    <w:p>
      <w:pPr>
        <w:pStyle w:val="BodyText"/>
      </w:pPr>
      <w:r>
        <w:rPr>
          <w:bCs/>
          <w:b/>
        </w:rPr>
        <w:t xml:space="preserve">Analytical Response:</w:t>
      </w:r>
      <w:r>
        <w:t xml:space="preserve">* The Financial Analyst conducted a comprehensive sensitivity analysis. By modeling different interest rate scenarios (base, upside, downside), the analyst identified a critical break-even point for consumer demand.</w:t>
      </w:r>
      <w:r>
        <w:br/>
      </w:r>
      <w:r>
        <w:br/>
      </w:r>
    </w:p>
    <w:p>
      <w:pPr>
        <w:pStyle w:val="BodyText"/>
      </w:pPr>
      <w:r>
        <w:t xml:space="preserve">Strategic Recommendation:* * Based on this analysis, the company was advised to refinance high-interest debt and optimize inventory levels to preserve cash flow. This proactive approach mitigated potential liquidity issues and maintained shareholder confidence during a period of economic uncertainty.</w:t>
      </w:r>
    </w:p>
    <w:p>
      <w:pPr>
        <w:pStyle w:val="BodyText"/>
      </w:pPr>
      <w:r>
        <w:t xml:space="preserve">This case underscores the importance of agile financial planning and the direct impact of macroeconomic policy on corporate strategy in the Australian context.</w:t>
      </w:r>
    </w:p>
    <w:bookmarkEnd w:id="25"/>
    <w:bookmarkStart w:id="26" w:name="future-outlook-career-development"/>
    <w:p>
      <w:pPr>
        <w:pStyle w:val="Heading2"/>
      </w:pPr>
      <w:r>
        <w:t xml:space="preserve">Future Outlook &amp; Career Development</w:t>
      </w:r>
    </w:p>
    <w:p>
      <w:pPr>
        <w:pStyle w:val="FirstParagraph"/>
      </w:pPr>
      <w:r>
        <w:t xml:space="preserve">The future of financial analysis in Sydney is characterized by specialization and sustainability. Two key trends will define the next decade:</w:t>
      </w:r>
    </w:p>
    <w:p>
      <w:pPr>
        <w:numPr>
          <w:ilvl w:val="0"/>
          <w:numId w:val="1004"/>
        </w:numPr>
        <w:pStyle w:val="Compact"/>
      </w:pPr>
      <w:r>
        <w:rPr>
          <w:bCs/>
          <w:b/>
        </w:rPr>
        <w:t xml:space="preserve">ESG Integration:</w:t>
      </w:r>
      <w:r>
        <w:t xml:space="preserve">* Environmental, Social, and Governance (ESG) factors are no longer peripheral but central to investment decisions. Analysts must be skilled in measuring carbon footprints, assessing social impact metrics, and evaluating governance structures. Sydney’s growing focus on green finance presents significant opportunities for analysts who can quantify non-financial performance.</w:t>
      </w:r>
    </w:p>
    <w:p>
      <w:pPr>
        <w:numPr>
          <w:ilvl w:val="0"/>
          <w:numId w:val="1004"/>
        </w:numPr>
        <w:pStyle w:val="Compact"/>
      </w:pPr>
      <w:r>
        <w:rPr>
          <w:bCs/>
          <w:b/>
        </w:rPr>
        <w:t xml:space="preserve">Asia-Pacific Connectivity:</w:t>
      </w:r>
      <w:r>
        <w:t xml:space="preserve">* As trade relations between Australia and Asian nations evolve, Financial Analysts with cross-cultural competence and knowledge of Asian markets will be in high demand. Understanding currency fluctuations (AUD/USD, AUD/CNY) and regional economic policies will be a key differentiator.</w:t>
      </w:r>
    </w:p>
    <w:p>
      <w:pPr>
        <w:pStyle w:val="FirstParagraph"/>
      </w:pPr>
      <w:r>
        <w:t xml:space="preserve">To succeed, aspiring Financial Analysts should pursue professional qualifications such as CPA or CA, engage in continuous professional development (CPD), and cultivate strong communication skills to bridge the gap between data and decision-making.</w:t>
      </w:r>
    </w:p>
    <w:bookmarkEnd w:id="26"/>
    <w:bookmarkStart w:id="27" w:name="conclusion"/>
    <w:p>
      <w:pPr>
        <w:pStyle w:val="Heading2"/>
      </w:pPr>
      <w:r>
        <w:t xml:space="preserve">Conclusion</w:t>
      </w:r>
    </w:p>
    <w:p>
      <w:pPr>
        <w:pStyle w:val="FirstParagraph"/>
      </w:pPr>
      <w:r>
        <w:t xml:space="preserve">The role of the Financial Analyst in Sydney is multifaceted, requiring a blend of technical expertise, regulatory knowledge, and strategic foresight. In a city that serves as the gateway to the Asia-Pacific market, financial analysts play a pivotal role in ensuring economic stability and driving growth. By embracing technological innovation, adhering to strict ethical standards, and focusing on sustainable practices, Financial Analysts can add significant value to their organizations.</w:t>
      </w:r>
    </w:p>
    <w:p>
      <w:pPr>
        <w:pStyle w:val="BodyText"/>
      </w:pPr>
      <w:r>
        <w:t xml:space="preserve">This poster presentation has highlighted the critical dimensions of this profession within the Australian context. As we move forward, the ability to interpret complex data within a robust regulatory framework will remain the cornerstone of successful financial leadership in Sydney.</w:t>
      </w:r>
    </w:p>
    <w:bookmarkEnd w:id="27"/>
    <w:bookmarkStart w:id="28" w:name="references-further-reading"/>
    <w:p>
      <w:pPr>
        <w:pStyle w:val="Heading3"/>
      </w:pPr>
      <w:r>
        <w:t xml:space="preserve">References &amp; Further Reading</w:t>
      </w:r>
    </w:p>
    <w:p>
      <w:pPr>
        <w:numPr>
          <w:ilvl w:val="0"/>
          <w:numId w:val="1005"/>
        </w:numPr>
        <w:pStyle w:val="Compact"/>
      </w:pPr>
      <w:r>
        <w:t xml:space="preserve">Australian Securities and Investments Commission (ASIC). (2024). *Corporate Governance Principles and Recommendations.*</w:t>
      </w:r>
    </w:p>
    <w:p>
      <w:pPr>
        <w:numPr>
          <w:ilvl w:val="0"/>
          <w:numId w:val="1005"/>
        </w:numPr>
        <w:pStyle w:val="Compact"/>
      </w:pPr>
      <w:r>
        <w:t xml:space="preserve">Australian Accounting Standards Board. (2023). *AASB Standards Handbook.*</w:t>
      </w:r>
    </w:p>
    <w:p>
      <w:pPr>
        <w:numPr>
          <w:ilvl w:val="0"/>
          <w:numId w:val="1005"/>
        </w:numPr>
        <w:pStyle w:val="Compact"/>
      </w:pPr>
      <w:r>
        <w:t xml:space="preserve">Reserve Bank of Australia. (2024). *Statement on Monetary Policy.*</w:t>
      </w:r>
    </w:p>
    <w:p>
      <w:pPr>
        <w:numPr>
          <w:ilvl w:val="0"/>
          <w:numId w:val="1005"/>
        </w:numPr>
        <w:pStyle w:val="Compact"/>
      </w:pPr>
      <w:r>
        <w:t xml:space="preserve">Tan, J., &amp; Lee, S. (2023). "Fintech Adoption in Australian Banking: A Strategic Analysis." *Journal of Financial Innovation,* 15(3), 45-67.</w:t>
      </w:r>
    </w:p>
    <w:p>
      <w:pPr>
        <w:pStyle w:val="FirstParagraph"/>
      </w:pPr>
      <w:r>
        <w:rPr>
          <w:bCs/>
          <w:b/>
        </w:rPr>
        <w:t xml:space="preserve">Contact:</w:t>
      </w:r>
      <w:r>
        <w:t xml:space="preserve">* [Your Name/Organization]</w:t>
      </w:r>
      <w:r>
        <w:br/>
      </w:r>
      <w:r>
        <w:t xml:space="preserve">*Sydney, NSW, Australia</w:t>
      </w:r>
      <w:r>
        <w:br/>
      </w:r>
      <w:r>
        <w:t xml:space="preserve">*[Email Address] | [LinkedIn Profile]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Analyst in Sydney</dc:title>
  <dc:creator/>
  <dc:language>en</dc:language>
  <cp:keywords/>
  <dcterms:created xsi:type="dcterms:W3CDTF">2026-07-29T08:05:03Z</dcterms:created>
  <dcterms:modified xsi:type="dcterms:W3CDTF">2026-07-29T08:05:03Z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