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Financial</w:t>
      </w:r>
      <w:r>
        <w:t xml:space="preserve"> </w:t>
      </w:r>
      <w:r>
        <w:t xml:space="preserve">Analyst</w:t>
      </w:r>
      <w:r>
        <w:t xml:space="preserve"> </w:t>
      </w:r>
      <w:r>
        <w:t xml:space="preserve">Poster</w:t>
      </w:r>
      <w:r>
        <w:t xml:space="preserve"> </w:t>
      </w:r>
      <w:r>
        <w:t xml:space="preserve">Presentation:</w:t>
      </w:r>
      <w:r>
        <w:t xml:space="preserve"> </w:t>
      </w:r>
      <w:r>
        <w:t xml:space="preserve">Toronto</w:t>
      </w:r>
      <w:r>
        <w:t xml:space="preserve"> </w:t>
      </w:r>
      <w:r>
        <w:t xml:space="preserve">Case</w:t>
      </w:r>
      <w:r>
        <w:t xml:space="preserve"> </w:t>
      </w:r>
      <w:r>
        <w:t xml:space="preserve">Study</w:t>
      </w:r>
    </w:p>
    <w:bookmarkStart w:id="20" w:name="X1b17f6f0487ecab34c112bc548c6f9162713b54"/>
    <w:p>
      <w:pPr>
        <w:pStyle w:val="Heading1"/>
      </w:pPr>
      <w:r>
        <w:t xml:space="preserve">Bridging Data, Strategy, and Growth: The Modern Financial Analyst in Canada Toronto</w:t>
      </w:r>
    </w:p>
    <w:p>
      <w:pPr>
        <w:pStyle w:val="FirstParagraph"/>
      </w:pPr>
      <w:r>
        <w:rPr>
          <w:bCs/>
          <w:b/>
        </w:rPr>
        <w:t xml:space="preserve">A Poster Presentation on Market Dynamics, Regulatory Compliance, and Strategic Value Creation</w:t>
      </w:r>
    </w:p>
    <w:p>
      <w:pPr>
        <w:pStyle w:val="BodyText"/>
      </w:pPr>
      <w:r>
        <w:rPr>
          <w:iCs/>
          <w:i/>
        </w:rPr>
        <w:t xml:space="preserve">Presentation Date: October 2023 | Location: Toronto Financial District Research Hub</w:t>
      </w:r>
    </w:p>
    <w:bookmarkEnd w:id="20"/>
    <w:bookmarkStart w:id="22" w:name="introduction"/>
    <w:bookmarkStart w:id="21" w:name="introduction-and-objectives"/>
    <w:p>
      <w:pPr>
        <w:pStyle w:val="Heading2"/>
      </w:pPr>
      <w:r>
        <w:t xml:space="preserve">1. Introduction and Objectives</w:t>
      </w:r>
    </w:p>
    <w:p>
      <w:pPr>
        <w:pStyle w:val="FirstParagraph"/>
      </w:pPr>
      <w:r>
        <w:t xml:space="preserve">The role of the Financial Analyst has evolved dramatically in recent years. No longer confined to historical reporting, the modern analyst serves as a strategic partner driving business intelligence and risk mitigation. This poster presentation focuses specifically on the unique economic landscape of Canada Toronto, a hub that represents one of North America's most dynamic financial centers.</w:t>
      </w:r>
    </w:p>
    <w:p>
      <w:pPr>
        <w:pStyle w:val="BodyText"/>
      </w:pPr>
      <w:r>
        <w:t xml:space="preserve">The primary objective of this study is to elucidate how Financial Analysts in Canada Toronto leverage advanced data analytics, adhere to rigorous regulatory frameworks, and contribute to organizational sustainability. By examining specific case studies from the Toronto market, we aim to highlight the critical competencies required for success in this competitive jurisdiction.</w:t>
      </w:r>
    </w:p>
    <w:bookmarkEnd w:id="21"/>
    <w:bookmarkEnd w:id="22"/>
    <w:bookmarkStart w:id="24" w:name="market-overview"/>
    <w:bookmarkStart w:id="23" w:name="the-canada-toronto-market-context"/>
    <w:p>
      <w:pPr>
        <w:pStyle w:val="Heading2"/>
      </w:pPr>
      <w:r>
        <w:t xml:space="preserve">2. The Canada Toronto Market Context</w:t>
      </w:r>
    </w:p>
    <w:p>
      <w:pPr>
        <w:pStyle w:val="FirstParagraph"/>
      </w:pPr>
      <w:r>
        <w:t xml:space="preserve">Toronto stands as the financial capital of Canada, hosting the Toronto Stock Exchange (TSX) and the headquarters of all five major Canadian banks. For a Financial Analyst operating in this region, understanding local market dynamics is paramount.</w:t>
      </w:r>
    </w:p>
    <w:p>
      <w:pPr>
        <w:pStyle w:val="BodyText"/>
      </w:pPr>
      <w:r>
        <w:rPr>
          <w:bCs/>
          <w:b/>
        </w:rPr>
        <w:t xml:space="preserve">Key Market Drivers:</w:t>
      </w:r>
    </w:p>
    <w:p>
      <w:pPr>
        <w:numPr>
          <w:ilvl w:val="0"/>
          <w:numId w:val="1001"/>
        </w:numPr>
        <w:pStyle w:val="Compact"/>
      </w:pPr>
      <w:r>
        <w:rPr>
          <w:bCs/>
          <w:b/>
        </w:rPr>
        <w:t xml:space="preserve">Diversified Economy:</w:t>
      </w:r>
      <w:r>
        <w:t xml:space="preserve"> </w:t>
      </w:r>
      <w:r>
        <w:t xml:space="preserve">While traditionally strong in banking and insurance, Toronto has seen a surge in technology (FinTech) and real estate sectors.</w:t>
      </w:r>
    </w:p>
    <w:p>
      <w:pPr>
        <w:numPr>
          <w:ilvl w:val="0"/>
          <w:numId w:val="1001"/>
        </w:numPr>
        <w:pStyle w:val="Compact"/>
      </w:pPr>
      <w:r>
        <w:rPr>
          <w:bCs/>
          <w:b/>
        </w:rPr>
        <w:t xml:space="preserve">Talent Density:</w:t>
      </w:r>
      <w:r>
        <w:t xml:space="preserve"> </w:t>
      </w:r>
      <w:r>
        <w:t xml:space="preserve">The presence of top-tier universities provides a steady stream of highly qualified analysts proficient in Python, SQL, and advanced Excel modeling.</w:t>
      </w:r>
    </w:p>
    <w:p>
      <w:pPr>
        <w:numPr>
          <w:ilvl w:val="0"/>
          <w:numId w:val="1001"/>
        </w:numPr>
        <w:pStyle w:val="Compact"/>
      </w:pPr>
      <w:r>
        <w:rPr>
          <w:bCs/>
          <w:b/>
        </w:rPr>
        <w:t xml:space="preserve">Cross-Border Influence:</w:t>
      </w:r>
      <w:r>
        <w:t xml:space="preserve"> </w:t>
      </w:r>
      <w:r>
        <w:t xml:space="preserve">Proximity to New York City means that Financial Analysts in Canada Toronto must be attuned to both local Bank of Canada policies and broader North American market trends.</w:t>
      </w:r>
    </w:p>
    <w:p>
      <w:pPr>
        <w:pStyle w:val="FirstParagraph"/>
      </w:pPr>
      <w:r>
        <w:t xml:space="preserve">This unique environment necessitates a dual focus: maintaining strict adherence to Canadian Generally Accepted Accounting Principles (GAAP) while remaining agile enough to respond to international capital flows. The Financial Analyst in this region acts as a bridge between local operational realities and global financial expectations.</w:t>
      </w:r>
    </w:p>
    <w:bookmarkEnd w:id="23"/>
    <w:bookmarkEnd w:id="24"/>
    <w:bookmarkStart w:id="26" w:name="responsibilities"/>
    <w:bookmarkStart w:id="25" w:name="core-responsibilities-of-the-analyst"/>
    <w:p>
      <w:pPr>
        <w:pStyle w:val="Heading2"/>
      </w:pPr>
      <w:r>
        <w:t xml:space="preserve">3. Core Responsibilities of the Analyst</w:t>
      </w:r>
    </w:p>
    <w:p>
      <w:pPr>
        <w:pStyle w:val="FirstParagraph"/>
      </w:pPr>
      <w:r>
        <w:t xml:space="preserve">In the bustling ecosystem of Canada Toronto, the Financial Analyst is responsible for a multifaceted set of duties that extend beyond basic bookkeeping. The following pillars define the role:</w:t>
      </w:r>
    </w:p>
    <w:p>
      <w:pPr>
        <w:numPr>
          <w:ilvl w:val="0"/>
          <w:numId w:val="1002"/>
        </w:numPr>
        <w:pStyle w:val="Compact"/>
      </w:pPr>
      <w:r>
        <w:rPr>
          <w:bCs/>
          <w:b/>
        </w:rPr>
        <w:t xml:space="preserve">Strategic Financial Modeling:</w:t>
      </w:r>
      <w:r>
        <w:t xml:space="preserve"> </w:t>
      </w:r>
      <w:r>
        <w:t xml:space="preserve">Developing robust models to forecast revenue streams, particularly in volatile sectors such as real estate development and resource extraction.</w:t>
      </w:r>
    </w:p>
    <w:p>
      <w:pPr>
        <w:numPr>
          <w:ilvl w:val="0"/>
          <w:numId w:val="1002"/>
        </w:numPr>
        <w:pStyle w:val="Compact"/>
      </w:pPr>
      <w:r>
        <w:rPr>
          <w:bCs/>
          <w:b/>
        </w:rPr>
        <w:t xml:space="preserve">Risk Management &amp; Compliance:</w:t>
      </w:r>
      <w:r>
        <w:t xml:space="preserve"> </w:t>
      </w:r>
      <w:r>
        <w:t xml:space="preserve">Ensuring that all financial practices comply with the Office of the Superintendent of Financial Institutions (OSFI) guidelines. This is critical for analysts working within or adjacent to the banking sector.</w:t>
      </w:r>
    </w:p>
    <w:p>
      <w:pPr>
        <w:numPr>
          <w:ilvl w:val="0"/>
          <w:numId w:val="1002"/>
        </w:numPr>
        <w:pStyle w:val="Compact"/>
      </w:pPr>
      <w:r>
        <w:rPr>
          <w:bCs/>
          <w:b/>
        </w:rPr>
        <w:t xml:space="preserve">Data Visualization:</w:t>
      </w:r>
      <w:r>
        <w:t xml:space="preserve"> </w:t>
      </w:r>
      <w:r>
        <w:t xml:space="preserve">Translating complex datasets into actionable insights using tools like Tableau, Power BI, and Python. This skill is increasingly demanded by senior management in Toronto-based firms seeking competitive advantages.</w:t>
      </w:r>
    </w:p>
    <w:p>
      <w:pPr>
        <w:numPr>
          <w:ilvl w:val="0"/>
          <w:numId w:val="1002"/>
        </w:numPr>
        <w:pStyle w:val="Compact"/>
      </w:pPr>
      <w:r>
        <w:rPr>
          <w:bCs/>
          <w:b/>
        </w:rPr>
        <w:t xml:space="preserve">Budgetary Oversight:</w:t>
      </w:r>
    </w:p>
    <w:bookmarkEnd w:id="25"/>
    <w:bookmarkEnd w:id="26"/>
    <w:bookmarkStart w:id="28" w:name="technical-skills"/>
    <w:bookmarkStart w:id="27" w:name="essential-technical-competencies"/>
    <w:p>
      <w:pPr>
        <w:pStyle w:val="Heading2"/>
      </w:pPr>
      <w:r>
        <w:t xml:space="preserve">4. Essential Technical Competencies</w:t>
      </w:r>
    </w:p>
    <w:p>
      <w:pPr>
        <w:pStyle w:val="FirstParagraph"/>
      </w:pPr>
      <w:r>
        <w:t xml:space="preserve">The modern Financial Analyst must possess a hybrid skill set combining quantitative rigor with qualitative strategic thinking. In Canada Toronto, the demand for proficiency in specific technologies is high.</w:t>
      </w:r>
    </w:p>
    <w:p>
      <w:pPr>
        <w:pStyle w:val="BodyText"/>
      </w:pPr>
      <w:r>
        <w:rPr>
          <w:bCs/>
          <w:b/>
        </w:rPr>
        <w:t xml:space="preserve">Data Analytics</w:t>
      </w:r>
      <w:r>
        <w:br/>
      </w:r>
      <w:r>
        <w:t xml:space="preserve">Python/R/SQL</w:t>
      </w:r>
      <w:r>
        <w:br/>
      </w:r>
      <w:r>
        <w:t xml:space="preserve">75% of Job Postings</w:t>
      </w:r>
    </w:p>
    <w:p>
      <w:pPr>
        <w:pStyle w:val="BodyText"/>
      </w:pPr>
      <w:r>
        <w:rPr>
          <w:bCs/>
          <w:b/>
        </w:rPr>
        <w:t xml:space="preserve">Regulatory Knowledge</w:t>
      </w:r>
      <w:r>
        <w:br/>
      </w:r>
      <w:r>
        <w:t xml:space="preserve">CASB/IFRS</w:t>
      </w:r>
      <w:r>
        <w:br/>
      </w:r>
      <w:r>
        <w:t xml:space="preserve">Mandatory Requirement</w:t>
      </w:r>
    </w:p>
    <w:p>
      <w:pPr>
        <w:pStyle w:val="BodyText"/>
      </w:pPr>
      <w:r>
        <w:t xml:space="preserve">Furthermore, knowledge of International Financial Reporting Standards (IFRS) is essential, as most large corporations in Canada have adopted these standards. The ability to navigate the nuances between Canadian GAAP and IFRS allows analysts to provide more accurate comparative analysis for stakeholders.</w:t>
      </w:r>
    </w:p>
    <w:bookmarkEnd w:id="27"/>
    <w:bookmarkEnd w:id="28"/>
    <w:bookmarkStart w:id="30" w:name="impact"/>
    <w:bookmarkStart w:id="29" w:name="strategic-impact-on-business-outcomes"/>
    <w:p>
      <w:pPr>
        <w:pStyle w:val="Heading2"/>
      </w:pPr>
      <w:r>
        <w:t xml:space="preserve">5. Strategic Impact on Business Outcomes</w:t>
      </w:r>
    </w:p>
    <w:p>
      <w:pPr>
        <w:pStyle w:val="FirstParagraph"/>
      </w:pPr>
      <w:r>
        <w:t xml:space="preserve">The contribution of a Financial Analyst to organizational success in Canada Toronto is measurable and significant. By providing accurate forecasts and identifying inefficiencies, analysts directly influence profitability and long-term viability.</w:t>
      </w:r>
    </w:p>
    <w:p>
      <w:pPr>
        <w:pStyle w:val="BodyText"/>
      </w:pPr>
      <w:r>
        <w:rPr>
          <w:bCs/>
          <w:b/>
        </w:rPr>
        <w:t xml:space="preserve">Case Example:</w:t>
      </w:r>
      <w:r>
        <w:t xml:space="preserve"> </w:t>
      </w:r>
      <w:r>
        <w:t xml:space="preserve">A mid-sized FinTech startup in the Yorkville area utilized financial modeling techniques to optimize its cash flow management. By implementing dynamic forecasting models, the company reduced operational costs by 12% within the first year, allowing for increased investment in product development. This exemplifies how analytical rigor translates directly into competitive advantage.</w:t>
      </w:r>
    </w:p>
    <w:bookmarkEnd w:id="29"/>
    <w:bookmarkEnd w:id="30"/>
    <w:bookmarkStart w:id="32" w:name="future-trends"/>
    <w:bookmarkStart w:id="31" w:name="future-trends-and-challenges"/>
    <w:p>
      <w:pPr>
        <w:pStyle w:val="Heading2"/>
      </w:pPr>
      <w:r>
        <w:t xml:space="preserve">6. Future Trends and Challenges</w:t>
      </w:r>
    </w:p>
    <w:p>
      <w:pPr>
        <w:pStyle w:val="FirstParagraph"/>
      </w:pPr>
      <w:r>
        <w:t xml:space="preserve">Looking ahead, the role of the Financial Analyst in Canada Toronto will continue to evolve. Several key trends are shaping the profession:</w:t>
      </w:r>
    </w:p>
    <w:p>
      <w:pPr>
        <w:numPr>
          <w:ilvl w:val="0"/>
          <w:numId w:val="1003"/>
        </w:numPr>
        <w:pStyle w:val="Compact"/>
      </w:pPr>
      <w:r>
        <w:rPr>
          <w:bCs/>
          <w:b/>
        </w:rPr>
        <w:t xml:space="preserve">Digital Transformation:</w:t>
      </w:r>
      <w:r>
        <w:t xml:space="preserve"> </w:t>
      </w:r>
      <w:r>
        <w:t xml:space="preserve">The integration of Artificial Intelligence (AI) and Machine Learning (ML) into financial planning tools is automating routine tasks, allowing analysts to focus on strategic interpretation.</w:t>
      </w:r>
    </w:p>
    <w:p>
      <w:pPr>
        <w:numPr>
          <w:ilvl w:val="0"/>
          <w:numId w:val="1003"/>
        </w:numPr>
        <w:pStyle w:val="Compact"/>
      </w:pPr>
      <w:r>
        <w:rPr>
          <w:bCs/>
          <w:b/>
        </w:rPr>
        <w:t xml:space="preserve">Sustainability Reporting:</w:t>
      </w:r>
      <w:r>
        <w:t xml:space="preserve"> </w:t>
      </w:r>
      <w:r>
        <w:t xml:space="preserve">With growing emphasis on Environmental, Social, and Governance (ESG) criteria, analysts must now incorporate non-financial metrics into their reports. This is particularly relevant in Canada Toronto, where investors are increasingly demanding transparent sustainability data.</w:t>
      </w:r>
    </w:p>
    <w:p>
      <w:pPr>
        <w:numPr>
          <w:ilvl w:val="0"/>
          <w:numId w:val="1003"/>
        </w:numPr>
        <w:pStyle w:val="Compact"/>
      </w:pPr>
      <w:r>
        <w:rPr>
          <w:bCs/>
          <w:b/>
        </w:rPr>
        <w:t xml:space="preserve">Cybersecurity Awareness:</w:t>
      </w:r>
      <w:r>
        <w:t xml:space="preserve"> </w:t>
      </w:r>
      <w:r>
        <w:t xml:space="preserve">As financial data becomes more digitized, analysts must be vigilant regarding data security and privacy regulations such as PIPEDA (Personal Information Protection and Electronic Documents Act).</w:t>
      </w:r>
    </w:p>
    <w:p>
      <w:pPr>
        <w:pStyle w:val="FirstParagraph"/>
      </w:pPr>
      <w:r>
        <w:rPr>
          <w:bCs/>
          <w:b/>
        </w:rPr>
        <w:t xml:space="preserve">Conclusion:</w:t>
      </w:r>
      <w:r>
        <w:br/>
      </w:r>
      <w:r>
        <w:t xml:space="preserve">The Financial Analyst in Canada Toronto is a pivotal figure in the modern economic landscape. By mastering technical skills, adhering to strict regulatory standards, and embracing digital innovation, these professionals drive sustainable growth and strategic decision-making. As the market continues to expand, the demand for high-caliber analysts will only increase.</w:t>
      </w:r>
    </w:p>
    <w:bookmarkEnd w:id="31"/>
    <w:bookmarkEnd w:id="32"/>
    <w:bookmarkStart w:id="33" w:name="references-and-further-reading"/>
    <w:p>
      <w:pPr>
        <w:pStyle w:val="Heading3"/>
      </w:pPr>
      <w:r>
        <w:t xml:space="preserve">References and Further Reading</w:t>
      </w:r>
    </w:p>
    <w:p>
      <w:pPr>
        <w:numPr>
          <w:ilvl w:val="0"/>
          <w:numId w:val="1004"/>
        </w:numPr>
        <w:pStyle w:val="Compact"/>
      </w:pPr>
      <w:r>
        <w:t xml:space="preserve">Office of the Superintendent of Financial Institutions (OSFI). (2023). *Guidelines for Financial Risk Management.* Ottawa, Canada.</w:t>
      </w:r>
    </w:p>
    <w:p>
      <w:pPr>
        <w:numPr>
          <w:ilvl w:val="0"/>
          <w:numId w:val="1004"/>
        </w:numPr>
        <w:pStyle w:val="Compact"/>
      </w:pPr>
      <w:r>
        <w:t xml:space="preserve">Toronto Stock Exchange. (2023). *Annual Market Review: Performance and Trends.* Toronto, Ontario.</w:t>
      </w:r>
    </w:p>
    <w:p>
      <w:pPr>
        <w:numPr>
          <w:ilvl w:val="0"/>
          <w:numId w:val="1004"/>
        </w:numPr>
        <w:pStyle w:val="Compact"/>
      </w:pPr>
      <w:r>
        <w:t xml:space="preserve">Canadian Institute of Chartered Business Valuers. (2023). *Standards for Professional Practice in Financial Analysis.*</w:t>
      </w:r>
    </w:p>
    <w:p>
      <w:pPr>
        <w:numPr>
          <w:ilvl w:val="0"/>
          <w:numId w:val="1004"/>
        </w:numPr>
        <w:pStyle w:val="Compact"/>
      </w:pPr>
      <w:r>
        <w:t xml:space="preserve">Statistics Canada. (2023). *Labour Force Survey: Employment in Finance and Insurance Sector.* Ottawa, Canada.</w:t>
      </w:r>
    </w:p>
    <w:bookmarkEnd w:id="33"/>
    <w:p>
      <w:pPr>
        <w:pStyle w:val="FirstParagraph"/>
      </w:pPr>
      <w:r>
        <w:t xml:space="preserve">© 2023 Academic Poster Presentation Series. All Rights Reserved. | Prepared for the Canadian Financial Analysis Symposium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Analyst Poster Presentation: Toronto Case Study</dc:title>
  <dc:creator/>
  <dc:language>en</dc:language>
  <cp:keywords/>
  <dcterms:created xsi:type="dcterms:W3CDTF">2026-07-29T08:37:03Z</dcterms:created>
  <dcterms:modified xsi:type="dcterms:W3CDTF">2026-07-29T08:37:03Z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