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Canada</w:t>
      </w:r>
      <w:r>
        <w:t xml:space="preserve"> </w:t>
      </w:r>
      <w:r>
        <w:t xml:space="preserve">Vancouver</w:t>
      </w:r>
    </w:p>
    <w:bookmarkStart w:id="34" w:name="X3dd13d09c5af976c388db32d4f17629b1bf7e28"/>
    <w:p>
      <w:pPr>
        <w:pStyle w:val="Heading1"/>
      </w:pPr>
      <w:r>
        <w:t xml:space="preserve">The Strategic Role of the Financial Analyst in Canada Vancouver</w:t>
      </w:r>
    </w:p>
    <w:p>
      <w:pPr>
        <w:pStyle w:val="FirstParagraph"/>
      </w:pPr>
      <w:r>
        <w:t xml:space="preserve">Poster Presentation Academic Document</w:t>
      </w:r>
      <w:r>
        <w:br/>
      </w:r>
      <w:r>
        <w:t xml:space="preserve">Prepared for Regional Economic Development Conference</w:t>
      </w:r>
      <w:r>
        <w:br/>
      </w:r>
      <w:r>
        <w:t xml:space="preserve">Focus Region: British Columbia, Canada Vancouver Metropolitan Area</w:t>
      </w:r>
      <w:r>
        <w:br/>
      </w:r>
    </w:p>
    <w:bookmarkStart w:id="20" w:name="i.-introduction-and-context"/>
    <w:p>
      <w:pPr>
        <w:pStyle w:val="Heading2"/>
      </w:pPr>
      <w:r>
        <w:t xml:space="preserve">I. Introduction and Context</w:t>
      </w:r>
    </w:p>
    <w:p>
      <w:pPr>
        <w:pStyle w:val="FirstParagraph"/>
      </w:pPr>
      <w:r>
        <w:t xml:space="preserve">The global economy has become increasingly complex, requiring robust financial strategies to navigate market volatility, regulatory changes, and technological disruption. In this context, the role of the</w:t>
      </w:r>
      <w:r>
        <w:t xml:space="preserve"> </w:t>
      </w:r>
      <w:r>
        <w:rPr>
          <w:bCs/>
          <w:b/>
        </w:rPr>
        <w:t xml:space="preserve">Financial Analyst</w:t>
      </w:r>
      <w:r>
        <w:t xml:space="preserve"> </w:t>
      </w:r>
      <w:r>
        <w:t xml:space="preserve">has evolved from a traditional number-cruncher to a strategic business partner. This presentation focuses specifically on the dynamic landscape within</w:t>
      </w:r>
      <w:r>
        <w:t xml:space="preserve"> </w:t>
      </w:r>
      <w:r>
        <w:rPr>
          <w:bCs/>
          <w:b/>
        </w:rPr>
        <w:t xml:space="preserve">Canada Vancouver</w:t>
      </w:r>
      <w:r>
        <w:t xml:space="preserve">, one of Canada’s most vibrant economic hubs located in British Columbia.</w:t>
      </w:r>
    </w:p>
    <w:p>
      <w:pPr>
        <w:pStyle w:val="BodyText"/>
      </w:pPr>
      <w:r>
        <w:t xml:space="preserve">This poster document aims to elucidate how financial analysts operating in this specific geographic region contribute to local economic resilience and corporate success. By examining the unique intersection of technology, natural resources, and international trade that characterizes</w:t>
      </w:r>
      <w:r>
        <w:t xml:space="preserve"> </w:t>
      </w:r>
      <w:r>
        <w:rPr>
          <w:bCs/>
          <w:b/>
        </w:rPr>
        <w:t xml:space="preserve">Canada Vancouver</w:t>
      </w:r>
      <w:r>
        <w:t xml:space="preserve">, we highlight why specialized financial expertise is critical for sustainable growth in this region.</w:t>
      </w:r>
    </w:p>
    <w:bookmarkEnd w:id="20"/>
    <w:bookmarkStart w:id="22" w:name="Xac70690a1fbab209b8d5ac74f1d057dd277812f"/>
    <w:p>
      <w:pPr>
        <w:pStyle w:val="Heading2"/>
      </w:pPr>
      <w:r>
        <w:t xml:space="preserve">II. Defining the Modern Financial Analyst</w:t>
      </w:r>
    </w:p>
    <w:p>
      <w:pPr>
        <w:pStyle w:val="FirstParagraph"/>
      </w:pPr>
      <w:r>
        <w:t xml:space="preserve">A modern</w:t>
      </w:r>
      <w:r>
        <w:t xml:space="preserve"> </w:t>
      </w:r>
      <w:r>
        <w:rPr>
          <w:bCs/>
          <w:b/>
        </w:rPr>
        <w:t xml:space="preserve">Financial Analyst</w:t>
      </w:r>
    </w:p>
    <w:bookmarkStart w:id="21" w:name="core-responsibilities"/>
    <w:p>
      <w:pPr>
        <w:pStyle w:val="Heading3"/>
      </w:pPr>
      <w:r>
        <w:t xml:space="preserve">Core Responsibilities:</w:t>
      </w:r>
    </w:p>
    <w:p>
      <w:pPr>
        <w:numPr>
          <w:ilvl w:val="0"/>
          <w:numId w:val="1001"/>
        </w:numPr>
        <w:pStyle w:val="Compact"/>
      </w:pPr>
      <w:r>
        <w:rPr>
          <w:bCs/>
          <w:b/>
        </w:rPr>
        <w:t xml:space="preserve">Evaluating Investment Opportunities:</w:t>
      </w:r>
      <w:r>
        <w:t xml:space="preserve"> </w:t>
      </w:r>
      <w:r>
        <w:t xml:space="preserve">Assessing potential assets and projects to determine viability.</w:t>
      </w:r>
    </w:p>
    <w:p>
      <w:pPr>
        <w:numPr>
          <w:ilvl w:val="0"/>
          <w:numId w:val="1001"/>
        </w:numPr>
        <w:pStyle w:val="Compact"/>
      </w:pPr>
      <w:r>
        <w:rPr>
          <w:bCs/>
          <w:b/>
        </w:rPr>
        <w:t xml:space="preserve">Budgeting and Forecasting:</w:t>
      </w:r>
    </w:p>
    <w:p>
      <w:pPr>
        <w:numPr>
          <w:ilvl w:val="0"/>
          <w:numId w:val="1001"/>
        </w:numPr>
        <w:pStyle w:val="Compact"/>
      </w:pPr>
      <w:r>
        <w:t xml:space="preserve">Risk Management:</w:t>
      </w:r>
    </w:p>
    <w:p>
      <w:pPr>
        <w:numPr>
          <w:ilvl w:val="0"/>
          <w:numId w:val="1000"/>
        </w:numPr>
        <w:pStyle w:val="Compact"/>
      </w:pPr>
      <w:r>
        <w:t xml:space="preserve">P&gt;Analyzing market risks, including interest rate fluctuations and currency volatility (particularly CAD/USD).</w:t>
      </w:r>
    </w:p>
    <w:bookmarkEnd w:id="21"/>
    <w:bookmarkEnd w:id="22"/>
    <w:bookmarkStart w:id="24" w:name="Xe3fe4ee78532bd2deed6495e3abccf5c59d375f"/>
    <w:p>
      <w:pPr>
        <w:pStyle w:val="Heading2"/>
      </w:pPr>
      <w:r>
        <w:t xml:space="preserve">III. The Canadian Vancouver Economic Ecosystem</w:t>
      </w:r>
    </w:p>
    <w:p>
      <w:pPr>
        <w:pStyle w:val="FirstParagraph"/>
      </w:pPr>
      <w:r>
        <w:t xml:space="preserve">To understand the specific demands on a financial analyst, one must understand the environment in which they operate.</w:t>
      </w:r>
      <w:r>
        <w:t xml:space="preserve"> </w:t>
      </w:r>
      <w:r>
        <w:rPr>
          <w:bCs/>
          <w:b/>
        </w:rPr>
        <w:t xml:space="preserve">Canada Vancouver</w:t>
      </w:r>
      <w:r>
        <w:t xml:space="preserve">, often synonymous with Metro Vancouver, is distinct from other major North American cities due to its unique economic drivers.</w:t>
      </w:r>
    </w:p>
    <w:bookmarkStart w:id="23" w:name="a.-technology-and-innovation-hub"/>
    <w:p>
      <w:pPr>
        <w:pStyle w:val="Heading3"/>
      </w:pPr>
      <w:r>
        <w:t xml:space="preserve">A. Technology and Innovation Hub</w:t>
      </w:r>
    </w:p>
    <w:p>
      <w:pPr>
        <w:pStyle w:val="FirstParagraph"/>
      </w:pPr>
      <w:r>
        <w:rPr>
          <w:bCs/>
          <w:b/>
        </w:rPr>
        <w:t xml:space="preserve">Canada Vancouver</w:t>
      </w:r>
    </w:p>
    <w:p>
      <w:pPr>
        <w:pStyle w:val="BodyText"/>
      </w:pPr>
      <w:r>
        <w:t xml:space="preserve">B. Natural Resources</w:t>
      </w:r>
    </w:p>
    <w:p>
      <w:pPr>
        <w:pStyle w:val="BodyText"/>
      </w:pPr>
      <w:r>
        <w:t xml:space="preserve">Despite the tech boom, British Columbia remains heavily reliant on natural resources such as forestry, mining, and hydroelectricity. A financial analyst operating within this sphere requires specialized knowledge of commodity pricing models and geopolitical risk assessment regarding export markets.</w:t>
      </w:r>
    </w:p>
    <w:bookmarkEnd w:id="23"/>
    <w:bookmarkEnd w:id="24"/>
    <w:bookmarkStart w:id="28" w:name="iv.-challenges-specific-to-the-region"/>
    <w:p>
      <w:pPr>
        <w:pStyle w:val="Heading2"/>
      </w:pPr>
      <w:r>
        <w:t xml:space="preserve">IV. Challenges Specific to the Region</w:t>
      </w:r>
    </w:p>
    <w:p>
      <w:pPr>
        <w:pStyle w:val="FirstParagraph"/>
      </w:pPr>
      <w:r>
        <w:t xml:space="preserve">The role of a financial analyst in</w:t>
      </w:r>
      <w:r>
        <w:t xml:space="preserve"> </w:t>
      </w:r>
      <w:r>
        <w:rPr>
          <w:bCs/>
          <w:b/>
        </w:rPr>
        <w:t xml:space="preserve">Canada Vancouver</w:t>
      </w:r>
      <w:r>
        <w:t xml:space="preserve">&gt;is not without its distinct challenges. These factors significantly influence how financial reports are constructed and strategic advice is given.</w:t>
      </w:r>
    </w:p>
    <w:bookmarkStart w:id="25" w:name="currency-volatility"/>
    <w:p>
      <w:pPr>
        <w:pStyle w:val="Heading4"/>
      </w:pPr>
      <w:r>
        <w:t xml:space="preserve">Currency Volatility</w:t>
      </w:r>
    </w:p>
    <w:p>
      <w:pPr>
        <w:pStyle w:val="FirstParagraph"/>
      </w:pPr>
      <w:r>
        <w:rPr>
          <w:iCs/>
          <w:i/>
        </w:rPr>
        <w:t xml:space="preserve">The strength of the Canadian Dollar against the US Dollar significantly impacts export revenues and import costs for companies in Canada Vancouver.</w:t>
      </w:r>
    </w:p>
    <w:bookmarkEnd w:id="25"/>
    <w:bookmarkStart w:id="26" w:name="housing-and-cost-of-living"/>
    <w:p>
      <w:pPr>
        <w:pStyle w:val="Heading4"/>
      </w:pPr>
      <w:r>
        <w:t xml:space="preserve">Housing and Cost of Living</w:t>
      </w:r>
    </w:p>
    <w:p>
      <w:pPr>
        <w:pStyle w:val="FirstParagraph"/>
      </w:pPr>
      <w:r>
        <w:rPr>
          <w:iCs/>
          <w:i/>
        </w:rPr>
        <w:t xml:space="preserve">Rising real estate prices affect labor compensation strategies. Analysts must factor in high operational costs when forecasting.</w:t>
      </w:r>
    </w:p>
    <w:bookmarkEnd w:id="26"/>
    <w:bookmarkStart w:id="27" w:name="regulatory-compliance"/>
    <w:p>
      <w:pPr>
        <w:pStyle w:val="Heading4"/>
      </w:pPr>
      <w:r>
        <w:t xml:space="preserve">Regulatory Compliance</w:t>
      </w:r>
    </w:p>
    <w:p>
      <w:pPr>
        <w:pStyle w:val="FirstParagraph"/>
      </w:pPr>
      <w:r>
        <w:rPr>
          <w:iCs/>
          <w:i/>
        </w:rPr>
        <w:t xml:space="preserve">Navigating both provincial (BC) and federal regulations adds layers of complexity to compliance reporting for analysts.</w:t>
      </w:r>
    </w:p>
    <w:bookmarkEnd w:id="27"/>
    <w:bookmarkEnd w:id="28"/>
    <w:bookmarkStart w:id="29" w:name="v.-strategic-impact-on-corporate-growth"/>
    <w:p>
      <w:pPr>
        <w:pStyle w:val="Heading2"/>
      </w:pPr>
      <w:r>
        <w:t xml:space="preserve">V. Strategic Impact on Corporate Growth</w:t>
      </w:r>
    </w:p>
    <w:p>
      <w:pPr>
        <w:pStyle w:val="FirstParagraph"/>
      </w:pPr>
      <w:r>
        <w:t xml:space="preserve">The impact of a skilled financial analyst extends beyond mere report generation. In the competitive landscape of</w:t>
      </w:r>
      <w:r>
        <w:t xml:space="preserve"> </w:t>
      </w:r>
      <w:r>
        <w:rPr>
          <w:bCs/>
          <w:b/>
        </w:rPr>
        <w:t xml:space="preserve">Canada Vancouver</w:t>
      </w:r>
      <w:r>
        <w:t xml:space="preserve">, these professionals drive growth through several key mechanisms:</w:t>
      </w:r>
    </w:p>
    <w:p>
      <w:pPr>
        <w:numPr>
          <w:ilvl w:val="0"/>
          <w:numId w:val="1002"/>
        </w:numPr>
        <w:pStyle w:val="Compact"/>
      </w:pPr>
      <w:r>
        <w:rPr>
          <w:bCs/>
          <w:b/>
        </w:rPr>
        <w:t xml:space="preserve">Mergers and Acquisitions (M&amp;A):</w:t>
      </w:r>
      <w:r>
        <w:t xml:space="preserve"> </w:t>
      </w:r>
      <w:r>
        <w:t xml:space="preserve">Financial analysts lead due diligence processes, ensuring that acquisitions in sectors like real estate development or green energy are financially sound.</w:t>
      </w:r>
    </w:p>
    <w:p>
      <w:pPr>
        <w:numPr>
          <w:ilvl w:val="0"/>
          <w:numId w:val="1002"/>
        </w:numPr>
        <w:pStyle w:val="Compact"/>
      </w:pPr>
      <w:r>
        <w:t xml:space="preserve">Sustainable Investing:&gt;As ESG (Environmental, Social, and Governance) criteria become paramount for investors in</w:t>
      </w:r>
      <w:r>
        <w:t xml:space="preserve"> </w:t>
      </w:r>
      <w:r>
        <w:rPr>
          <w:bCs/>
          <w:b/>
        </w:rPr>
        <w:t xml:space="preserve">Canada Vancouver</w:t>
      </w:r>
      <w:r>
        <w:t xml:space="preserve">, analysts play a crucial role in measuring and reporting non-financial metrics to attract socially responsible capital.</w:t>
      </w:r>
    </w:p>
    <w:p>
      <w:pPr>
        <w:numPr>
          <w:ilvl w:val="0"/>
          <w:numId w:val="1002"/>
        </w:numPr>
        <w:pStyle w:val="Compact"/>
      </w:pPr>
      <w:r>
        <w:t xml:space="preserve">Capital Allocation:&gt;By identifying high-return opportunities amidst a tight labor market, analysts ensure that corporate capital is deployed efficiently.</w:t>
      </w:r>
    </w:p>
    <w:bookmarkEnd w:id="29"/>
    <w:bookmarkStart w:id="31" w:name="v.-future-outlook-and-skills-demand"/>
    <w:p>
      <w:pPr>
        <w:pStyle w:val="Heading2"/>
      </w:pPr>
      <w:r>
        <w:t xml:space="preserve">V. Future Outlook and Skills Demand</w:t>
      </w:r>
    </w:p>
    <w:p>
      <w:pPr>
        <w:pStyle w:val="FirstParagraph"/>
      </w:pPr>
      <w:r>
        <w:t xml:space="preserve">The trajectory for financial analysts in</w:t>
      </w:r>
      <w:r>
        <w:t xml:space="preserve"> </w:t>
      </w:r>
      <w:r>
        <w:rPr>
          <w:bCs/>
          <w:b/>
        </w:rPr>
        <w:t xml:space="preserve">Canada Vancouver</w:t>
      </w:r>
      <w:r>
        <w:t xml:space="preserve">&gt;points toward increasing specialization and technological integration. As Artificial Intelligence (AI) automates routine data processing, the value of human analysis shifts toward interpretation, strategy formulation, and ethical oversight.</w:t>
      </w:r>
    </w:p>
    <w:bookmarkStart w:id="30" w:name="emerging-skills-for-canadian-analysts"/>
    <w:p>
      <w:pPr>
        <w:pStyle w:val="Heading3"/>
      </w:pPr>
      <w:r>
        <w:t xml:space="preserve">Emerging Skills for Canadian Analysts:</w:t>
      </w:r>
    </w:p>
    <w:p>
      <w:pPr>
        <w:numPr>
          <w:ilvl w:val="0"/>
          <w:numId w:val="1003"/>
        </w:numPr>
        <w:pStyle w:val="Compact"/>
      </w:pPr>
      <w:r>
        <w:t xml:space="preserve">Data Visualization:&gt;Proficiency in tools like Tableau or Power BI to communicate complex financial data to non-financial stakeholders.</w:t>
      </w:r>
    </w:p>
    <w:p>
      <w:pPr>
        <w:numPr>
          <w:ilvl w:val="0"/>
          <w:numId w:val="1003"/>
        </w:numPr>
        <w:pStyle w:val="Compact"/>
      </w:pPr>
      <w:r>
        <w:t xml:space="preserve">Digital Forensics&gt;Understanding cybersecurity risks that could impact financial data integrity.</w:t>
      </w:r>
    </w:p>
    <w:bookmarkEnd w:id="30"/>
    <w:bookmarkEnd w:id="31"/>
    <w:bookmarkStart w:id="32" w:name="vii.-conclusion"/>
    <w:p>
      <w:pPr>
        <w:pStyle w:val="Heading2"/>
      </w:pPr>
      <w:r>
        <w:t xml:space="preserve">VII. Conclusion</w:t>
      </w:r>
    </w:p>
    <w:p>
      <w:pPr>
        <w:pStyle w:val="FirstParagraph"/>
      </w:pPr>
      <w:r>
        <w:t xml:space="preserve">In summary, the role of the</w:t>
      </w:r>
      <w:r>
        <w:t xml:space="preserve"> </w:t>
      </w:r>
      <w:r>
        <w:rPr>
          <w:bCs/>
          <w:b/>
        </w:rPr>
        <w:t xml:space="preserve">Financial Analyst</w:t>
      </w:r>
      <w:r>
        <w:t xml:space="preserve">&gt;is pivotal to the economic health and corporate strategy within regions like &gt;As a gateway to Asia-Pacific markets and a hub for innovation, this city presents unique opportunities and challenges that require sophisticated financial oversight. For businesses aiming to thrive in this competitive environment, investing in high-quality financial analysis is not merely an administrative necessity but a strategic imperative. The future of finance in British Columbia relies on professionals who can navigate local nuances while leveraging global best practices.</w:t>
      </w:r>
    </w:p>
    <w:bookmarkEnd w:id="32"/>
    <w:bookmarkStart w:id="33" w:name="viii.-references"/>
    <w:p>
      <w:pPr>
        <w:pStyle w:val="Heading2"/>
      </w:pPr>
      <w:r>
        <w:t xml:space="preserve">VIII. References</w:t>
      </w:r>
    </w:p>
    <w:p>
      <w:pPr>
        <w:numPr>
          <w:ilvl w:val="0"/>
          <w:numId w:val="1004"/>
        </w:numPr>
        <w:pStyle w:val="Compact"/>
      </w:pPr>
      <w:r>
        <w:t xml:space="preserve">B.C. Statistics - Economic Indicators and Regional Data.</w:t>
      </w:r>
    </w:p>
    <w:p>
      <w:pPr>
        <w:numPr>
          <w:ilvl w:val="0"/>
          <w:numId w:val="1004"/>
        </w:numPr>
        <w:pStyle w:val="Compact"/>
      </w:pPr>
      <w:r>
        <w:t xml:space="preserve">CFA Institute - Professional Standards for Financial Analysis.</w:t>
      </w:r>
    </w:p>
    <w:p>
      <w:pPr>
        <w:numPr>
          <w:ilvl w:val="0"/>
          <w:numId w:val="1004"/>
        </w:numPr>
        <w:pStyle w:val="Compact"/>
      </w:pPr>
      <w:r>
        <w:t xml:space="preserve">Toronto Stock Exchange (TSX) and Canadian Securities Administrators guidelines on reporting standards applicable in Canada Vancouver.</w:t>
      </w:r>
    </w:p>
    <w:p>
      <w:pPr>
        <w:pStyle w:val="FirstParagraph"/>
      </w:pPr>
      <w:r>
        <w:t xml:space="preserve">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Canada Vancouver</dc:title>
  <dc:creator/>
  <dc:language>en</dc:language>
  <cp:keywords/>
  <dcterms:created xsi:type="dcterms:W3CDTF">2026-07-29T06:14:10Z</dcterms:created>
  <dcterms:modified xsi:type="dcterms:W3CDTF">2026-07-29T06:14:10Z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