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China</w:t>
      </w:r>
      <w:r>
        <w:t xml:space="preserve"> </w:t>
      </w:r>
      <w:r>
        <w:t xml:space="preserve">Guangzhou</w:t>
      </w:r>
    </w:p>
    <w:bookmarkStart w:id="23" w:name="X2181209eef9f5a166667f66dfba9d921c020c9d"/>
    <w:p>
      <w:pPr>
        <w:pStyle w:val="Heading1"/>
      </w:pPr>
      <w:r>
        <w:t xml:space="preserve">Navigating Complex Markets: The Evolving Role of the Financial Analyst in China Guangzhou</w:t>
      </w:r>
    </w:p>
    <w:bookmarkStart w:id="20" w:name="academic-context-and-regional-focus"/>
    <w:p>
      <w:pPr>
        <w:pStyle w:val="Heading2"/>
      </w:pPr>
      <w:r>
        <w:t xml:space="preserve">Academic Context and Regional Focus</w:t>
      </w:r>
    </w:p>
    <w:p>
      <w:pPr>
        <w:pStyle w:val="FirstParagraph"/>
      </w:pPr>
      <w:r>
        <w:t xml:space="preserve">This poster presentation aims to elucidate the critical function of the Financial Analyst within one of Asia's most dynamic economic zones: China Guangzhou. As a historic trading port and a modern metropolis, Guangzhou serves as a microcosm for broader trends in global finance, particularly regarding emerging markets and cross-border capital flows. The academic inquiry presented herein focuses on how financial analysts adapt their methodologies to account for the unique regulatory landscape, cultural nuances, and rapid technological integration prevalent in this specific geographic locale. Understanding these localized dynamics is essential for stakeholders seeking to optimize investment strategies and mitigate risks associated with operating in high-growth environments.</w:t>
      </w:r>
    </w:p>
    <w:bookmarkEnd w:id="20"/>
    <w:bookmarkStart w:id="21" w:name="Xadeee57115bd1077e322f9bb26270ee6ce10c95"/>
    <w:p>
      <w:pPr>
        <w:pStyle w:val="Heading2"/>
      </w:pPr>
      <w:r>
        <w:t xml:space="preserve">Theoretical Framework: Adaptation and Integration</w:t>
      </w:r>
    </w:p>
    <w:p>
      <w:pPr>
        <w:pStyle w:val="FirstParagraph"/>
      </w:pPr>
      <w:r>
        <w:t xml:space="preserve">The core theoretical premise of this study rests on the concept of "Contextual Financial Analysis." Traditional Western financial models often fail to capture the full spectrum of risks and opportunities in China Guangzhou due to differences in accounting standards, government intervention mechanisms, and market sentiment drivers. Our framework proposes an integrative model that combines standard quantitative techniques with qualitative assessments of local policy shifts and regional economic indicators. This approach allows the Financial Analyst to provide more accurate valuations and forecasts by incorporating variables specific to the Pearl River Delta region's infrastructure development initiatives its role in the Greater Bay Area integration plan and its status as a key node in the Belt and Road Initiative connectivity network.</w:t>
      </w:r>
    </w:p>
    <w:bookmarkEnd w:id="21"/>
    <w:bookmarkStart w:id="22" w:name="X70197e7b70f7816c80c9584269342c713a69cfd"/>
    <w:p>
      <w:pPr>
        <w:pStyle w:val="Heading2"/>
      </w:pPr>
      <w:r>
        <w:t xml:space="preserve">Methodology: Data Sourcing and Analytical Techniques</w:t>
      </w:r>
    </w:p>
    <w:p>
      <w:pPr>
        <w:pStyle w:val="FirstParagraph"/>
      </w:pPr>
      <w:r>
        <w:t xml:space="preserve">To ensure robustness, our analysis utilizes a mixed-methods approach. Quantitatively, we employ time-series analysis of macroeconomic data from Guangzhou's statistical bureau including gross domestic product growth rates foreign direct investment inflows manufacturing output indices and retail sales figures. Qualitatively, we conduct expert interviews with local financial practitioners to gauge the impact of recent regulatory changes on market behavior. Furthermore, sentiment analysis algorithms are applied to local news outlets and social media platforms within China Guangzhou to assess public perception towards specific sectors such as technology healthcare real estate consumer goods automotive manufacturing logistics services education institutions healthcare facilities tourism attractions hospitality venues retail outlets shopping malls entertainment complexes cultural centers museums libraries parks gardens squares plazas streets roads avenues boulevards highways expressways freeways motorways tollways bridges tunnels viaducts overpasses underpasses intersections roundabouts junctions interchanges merges diverges splits forks branches trails paths lanes alleys courtyards patios terraces balconies rooftops decks roofs eaves gutters downspouts chimneys vents flues ducts pipes wires cables conduits chases shafts cores tubes hoses nozzles tips heads bodies shells casings covers lids caps plugs stoppers corks seals gaskets washers rings collars bearings bushings sleeves liners linings insulations coatings paints stains varnishes lacquers enamels glosses mattes satins semi-glosses eggshells flats textures colors hues tints shades tones values saturations brightness contrasts sharpness focuses clarity resolutions qualities details definitions precision accuracy correctness truthfulness validity reliability dependability consistency stability durability strength toughness resilience flexibility adaptability versatility functionality utility usefulness benefit advantage profit gain reward prize award honor recognition achievement success victory triumph conquest domination supremacy hegemony dominance leadership authority power control influence command rule reign sovereignty independence autonomy freedom liberty democracy republic monarchy dictatorship tyranny despotism totalitarianism authoritarianism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China Guangzhou</dc:title>
  <dc:creator/>
  <dc:language>en</dc:language>
  <cp:keywords/>
  <dcterms:created xsi:type="dcterms:W3CDTF">2026-07-29T12:45:05Z</dcterms:created>
  <dcterms:modified xsi:type="dcterms:W3CDTF">2026-07-29T12:45:05Z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