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Germany</w:t>
      </w:r>
      <w:r>
        <w:t xml:space="preserve"> </w:t>
      </w:r>
      <w:r>
        <w:t xml:space="preserve">Frankfurt</w:t>
      </w:r>
    </w:p>
    <w:bookmarkStart w:id="33" w:name="Xbdd4c4693b9c80068be4adbad4fa1b0dca23cff"/>
    <w:p>
      <w:pPr>
        <w:pStyle w:val="Heading1"/>
      </w:pPr>
      <w:r>
        <w:t xml:space="preserve">The Evolving Role of the Financial Analyst in Germany Frankfurt</w:t>
      </w:r>
    </w:p>
    <w:p>
      <w:pPr>
        <w:pStyle w:val="FirstParagraph"/>
      </w:pPr>
      <w:r>
        <w:rPr>
          <w:bCs/>
          <w:b/>
        </w:rPr>
        <w:t xml:space="preserve">Presented By:</w:t>
      </w:r>
      <w:r>
        <w:t xml:space="preserve"> </w:t>
      </w:r>
      <w:r>
        <w:t xml:space="preserve">[Your Name/Organization]</w:t>
      </w:r>
      <w:r>
        <w:br/>
      </w:r>
      <w:r>
        <w:rPr>
          <w:bCs/>
          <w:b/>
        </w:rPr>
        <w:t xml:space="preserve">Affiliation:</w:t>
      </w:r>
      <w:r>
        <w:t xml:space="preserve"> </w:t>
      </w:r>
      <w:r>
        <w:t xml:space="preserve">Institute for Economic Research</w:t>
      </w:r>
      <w:r>
        <w:br/>
      </w:r>
      <w:r>
        <w:rPr>
          <w:bCs/>
          <w:b/>
        </w:rPr>
        <w:t xml:space="preserve">Date:</w:t>
      </w:r>
      <w:r>
        <w:t xml:space="preserve"> </w:t>
      </w:r>
      <w:r>
        <w:t xml:space="preserve">October 2023</w:t>
      </w:r>
      <w:r>
        <w:br/>
      </w:r>
      <w:r>
        <w:rPr>
          <w:iCs/>
          <w:i/>
        </w:rPr>
        <w:t xml:space="preserve">This document serves as a comprehensive academic poster presentation focusing on the critical role of financial analysts within the unique economic landscape of Germany Frankfurt.</w:t>
      </w:r>
    </w:p>
    <w:bookmarkStart w:id="20" w:name="X6cbeb1d914550c7a4c9f846f456f382d5def270"/>
    <w:p>
      <w:pPr>
        <w:pStyle w:val="Heading2"/>
      </w:pPr>
      <w:r>
        <w:t xml:space="preserve">I. Introduction: The Heart of European Finance</w:t>
      </w:r>
    </w:p>
    <w:p>
      <w:pPr>
        <w:pStyle w:val="FirstParagraph"/>
      </w:pPr>
      <w:r>
        <w:t xml:space="preserve">The city of</w:t>
      </w:r>
      <w:r>
        <w:t xml:space="preserve"> </w:t>
      </w:r>
      <w:r>
        <w:t xml:space="preserve">Germany Frankfurt</w:t>
      </w:r>
      <w:r>
        <w:t xml:space="preserve">, often referred to as "Mainhattan" due to its striking skyline, stands as the undisputed financial capital of continental Europe. Home to the European Central Bank (ECB), Deutsche Börse, and a dense concentration of international banking institutions, Frankfurt serves as a critical node in the global financial network. Within this high-stakes environment, the</w:t>
      </w:r>
      <w:r>
        <w:t xml:space="preserve"> </w:t>
      </w:r>
      <w:r>
        <w:t xml:space="preserve">Financial Analyst</w:t>
      </w:r>
      <w:r>
        <w:t xml:space="preserve"> </w:t>
      </w:r>
      <w:r>
        <w:t xml:space="preserve">plays a pivotal role that extends far beyond traditional number crunching.</w:t>
      </w:r>
    </w:p>
    <w:p>
      <w:pPr>
        <w:pStyle w:val="BodyText"/>
      </w:pPr>
      <w:r>
        <w:t xml:space="preserve">This poster presentation aims to dissect the modern responsibilities, challenges, and strategic imperatives facing financial analysts operating specifically within the context of Frankfurt's dynamic market. As global economic tides shift, local regulatory frameworks tighten, and technological innovations disrupt legacy systems, understanding these nuances is essential for stakeholders in both academia and industry.</w:t>
      </w:r>
    </w:p>
    <w:bookmarkEnd w:id="20"/>
    <w:bookmarkStart w:id="21" w:name="ii.-market-context-why-frankfurt-matters"/>
    <w:p>
      <w:pPr>
        <w:pStyle w:val="Heading2"/>
      </w:pPr>
      <w:r>
        <w:t xml:space="preserve">II. Market Context: Why Frankfurt Matters</w:t>
      </w:r>
    </w:p>
    <w:p>
      <w:pPr>
        <w:pStyle w:val="FirstParagraph"/>
      </w:pPr>
      <w:r>
        <w:t xml:space="preserve">The selection of Germany Frankfurt as the focal point for this study is not arbitrary. The city hosts approximately 600 financial institutions, employing over 150,00 people in the sector alone. This density creates a unique competitive ecosystem where</w:t>
      </w:r>
      <w:r>
        <w:t xml:space="preserve"> </w:t>
      </w:r>
      <w:r>
        <w:t xml:space="preserve">Financial Analyst</w:t>
      </w:r>
      <w:r>
        <w:t xml:space="preserve"> </w:t>
      </w:r>
      <w:r>
        <w:t xml:space="preserve">professionals must possess a specialized skill set.</w:t>
      </w:r>
    </w:p>
    <w:p>
      <w:pPr>
        <w:numPr>
          <w:ilvl w:val="0"/>
          <w:numId w:val="1001"/>
        </w:numPr>
        <w:pStyle w:val="Compact"/>
      </w:pPr>
      <w:r>
        <w:rPr>
          <w:bCs/>
          <w:b/>
        </w:rPr>
        <w:t xml:space="preserve">Regulatory Hub:</w:t>
      </w:r>
      <w:r>
        <w:t xml:space="preserve"> </w:t>
      </w:r>
      <w:r>
        <w:t xml:space="preserve">As the seat of the ECB, Frankfurt is at the forefront of European monetary policy. Analysts here must interpret complex regulatory changes impacting capital requirements and liquidity ratios in real-time.</w:t>
      </w:r>
    </w:p>
    <w:p>
      <w:pPr>
        <w:numPr>
          <w:ilvl w:val="0"/>
          <w:numId w:val="1001"/>
        </w:numPr>
        <w:pStyle w:val="Compact"/>
      </w:pPr>
      <w:r>
        <w:rPr>
          <w:bCs/>
          <w:b/>
        </w:rPr>
        <w:t xml:space="preserve">Cross-Border Dynamics:</w:t>
      </w:r>
      <w:r>
        <w:t xml:space="preserve"> </w:t>
      </w:r>
      <w:r>
        <w:t xml:space="preserve">Frankfurt serves as a gateway between domestic German Mittelstand enterprises and international markets. This requires analysts to be proficient in cross-border valuation, currency risk management, and geopolitical analysis.</w:t>
      </w:r>
    </w:p>
    <w:p>
      <w:pPr>
        <w:numPr>
          <w:ilvl w:val="0"/>
          <w:numId w:val="1001"/>
        </w:numPr>
        <w:pStyle w:val="Compact"/>
      </w:pPr>
      <w:r>
        <w:rPr>
          <w:bCs/>
          <w:b/>
        </w:rPr>
        <w:t xml:space="preserve">Innovation Center:</w:t>
      </w:r>
      <w:r>
        <w:t xml:space="preserve"> </w:t>
      </w:r>
      <w:r>
        <w:t xml:space="preserve">The rise of Fintech startups in the region demands that traditional analysts adapt to agile methodologies and integrate machine learning models into their forecasting tools.</w:t>
      </w:r>
    </w:p>
    <w:bookmarkEnd w:id="21"/>
    <w:bookmarkStart w:id="26" w:name="X36cae4a6fb2c14bf790088e0b45cdcbdb12eef4"/>
    <w:p>
      <w:pPr>
        <w:pStyle w:val="Heading2"/>
      </w:pPr>
      <w:r>
        <w:t xml:space="preserve">III. Core Competencies: Redefining the Professional Profile</w:t>
      </w:r>
    </w:p>
    <w:p>
      <w:pPr>
        <w:pStyle w:val="FirstParagraph"/>
      </w:pPr>
      <w:r>
        <w:t xml:space="preserve">In Germany Frankfurt, the definition of a competent financial analyst has evolved significantly. The traditional reliance on manual Excel modeling is being supplemented, and in some cases replaced, by advanced data analytics capabilities.</w:t>
      </w:r>
    </w:p>
    <w:bookmarkStart w:id="22" w:name="a.-technical-proficiency"/>
    <w:p>
      <w:pPr>
        <w:pStyle w:val="Heading3"/>
      </w:pPr>
      <w:r>
        <w:t xml:space="preserve">A. Technical Proficiency</w:t>
      </w:r>
    </w:p>
    <w:p>
      <w:pPr>
        <w:pStyle w:val="FirstParagraph"/>
      </w:pPr>
      <w:r>
        <w:t xml:space="preserve">The modern analyst must be fluent in SQL for database querying, Python or R for statistical analysis, and Power BI or Tableau for data visualization. In the context of Frankfurt's highly automated trading floors and risk management systems, technical literacy is no longer optional but a prerequisite.</w:t>
      </w:r>
    </w:p>
    <w:bookmarkEnd w:id="22"/>
    <w:bookmarkStart w:id="23" w:name="b.-regulatory-acumen"/>
    <w:p>
      <w:pPr>
        <w:pStyle w:val="Heading3"/>
      </w:pPr>
      <w:r>
        <w:t xml:space="preserve">B. Regulatory Acumen</w:t>
      </w:r>
    </w:p>
    <w:p>
      <w:pPr>
        <w:pStyle w:val="FirstParagraph"/>
      </w:pPr>
      <w:r>
        <w:t xml:space="preserve">A deep understanding of European regulatory frameworks such as MiFID II (Markets in Financial Instruments Directive), Basel III/IV, and GDPR is crucial. Analysts must ensure that their financial models and reporting mechanisms comply with these stringent standards, protecting institutions from significant legal and reputational risks.</w:t>
      </w:r>
    </w:p>
    <w:bookmarkEnd w:id="23"/>
    <w:bookmarkStart w:id="24" w:name="c.-strategic-communication"/>
    <w:p>
      <w:pPr>
        <w:pStyle w:val="Heading3"/>
      </w:pPr>
      <w:r>
        <w:t xml:space="preserve">C. Strategic Communication</w:t>
      </w:r>
    </w:p>
    <w:p>
      <w:pPr>
        <w:pStyle w:val="FirstParagraph"/>
      </w:pPr>
      <w:r>
        <w:t xml:space="preserve">Data without narrative is ineffective. Analysts in Frankfurt are increasingly required to translate complex quantitative findings into actionable strategic insights for senior management and non-technical stakeholders. This requires strong storytelling abilities and the capacity to present data clearly under pressure.</w:t>
      </w:r>
    </w:p>
    <w:bookmarkEnd w:id="24"/>
    <w:bookmarkStart w:id="25" w:name="key-findings-from-regional-data"/>
    <w:p>
      <w:pPr>
        <w:pStyle w:val="Heading3"/>
      </w:pPr>
      <w:r>
        <w:t xml:space="preserve">Key Findings from Regional Data</w:t>
      </w:r>
    </w:p>
    <w:p>
      <w:pPr>
        <w:numPr>
          <w:ilvl w:val="0"/>
          <w:numId w:val="1002"/>
        </w:numPr>
        <w:pStyle w:val="Compact"/>
      </w:pPr>
      <w:r>
        <w:rPr>
          <w:bCs/>
          <w:b/>
        </w:rPr>
        <w:t xml:space="preserve">Skill Gap:</w:t>
      </w:r>
      <w:r>
        <w:t xml:space="preserve"> </w:t>
      </w:r>
      <w:r>
        <w:t xml:space="preserve">Recent surveys indicate a 40% gap between traditional finance qualifications and the data science skills currently demanded by employers in Germany Frankfurt.</w:t>
      </w:r>
    </w:p>
    <w:p>
      <w:pPr>
        <w:numPr>
          <w:ilvl w:val="0"/>
          <w:numId w:val="1002"/>
        </w:numPr>
        <w:pStyle w:val="Compact"/>
      </w:pPr>
      <w:r>
        <w:rPr>
          <w:iCs/>
          <w:i/>
        </w:rPr>
        <w:t xml:space="preserve">Note: This finding underscores the urgent need for updated educational curricula focusing on hybrid financial-analytical roles.</w:t>
      </w:r>
    </w:p>
    <w:bookmarkEnd w:id="25"/>
    <w:bookmarkEnd w:id="26"/>
    <w:bookmarkStart w:id="31" w:name="X45ebcc64a0b1fad862354f0699dc4ce1ea3e939"/>
    <w:p>
      <w:pPr>
        <w:pStyle w:val="Heading2"/>
      </w:pPr>
      <w:r>
        <w:t xml:space="preserve">IV. Challenges and Strategic Implications</w:t>
      </w:r>
    </w:p>
    <w:p>
      <w:pPr>
        <w:pStyle w:val="FirstParagraph"/>
      </w:pPr>
      <w:r>
        <w:t xml:space="preserve">The path forward for financial analysts in Germany Frankfurt is fraught with challenges that require proactive management.</w:t>
      </w:r>
    </w:p>
    <w:bookmarkStart w:id="27" w:name="a.-technological-disruption"/>
    <w:p>
      <w:pPr>
        <w:pStyle w:val="Heading3"/>
      </w:pPr>
      <w:r>
        <w:t xml:space="preserve">A. Technological Disruption</w:t>
      </w:r>
    </w:p>
    <w:p>
      <w:pPr>
        <w:pStyle w:val="FirstParagraph"/>
      </w:pPr>
      <w:r>
        <w:t xml:space="preserve">The automation of routine analytical tasks by AI-driven platforms poses a threat to junior analyst roles. However, this also presents an opportunity for senior analysts to elevate their focus towards strategic advisory and complex problem-solving. Organizations must invest in continuous learning programs to upskill their workforce.</w:t>
      </w:r>
    </w:p>
    <w:bookmarkEnd w:id="27"/>
    <w:bookmarkStart w:id="28" w:name="b.-talent-acquisition"/>
    <w:p>
      <w:pPr>
        <w:pStyle w:val="Heading3"/>
      </w:pPr>
      <w:r>
        <w:t xml:space="preserve">B. Talent Acquisition</w:t>
      </w:r>
    </w:p>
    <w:p>
      <w:pPr>
        <w:pStyle w:val="FirstParagraph"/>
      </w:pPr>
      <w:r>
        <w:t xml:space="preserve">The competition for top-tier talent in Germany Frankfurt is fierce. Global banks compete with domestic institutions like Deutsche Bank and Commerzbank, as well as emerging Fintechs. Attracting diverse talent requires fostering inclusive cultures that value multidisciplinary perspectives.</w:t>
      </w:r>
    </w:p>
    <w:bookmarkEnd w:id="28"/>
    <w:bookmarkStart w:id="29" w:name="c.-economic-volatility"/>
    <w:p>
      <w:pPr>
        <w:pStyle w:val="Heading3"/>
      </w:pPr>
      <w:r>
        <w:t xml:space="preserve">C. Economic Volatility</w:t>
      </w:r>
    </w:p>
    <w:p>
      <w:pPr>
        <w:pStyle w:val="FirstParagraph"/>
      </w:pPr>
      <w:r>
        <w:t xml:space="preserve">Globally, economic uncertainty is rising due to inflationary pressures and geopolitical tensions. Analysts must develop robust stress-testing models to prepare institutions for potential shocks, ensuring resilience in their financial planning.</w:t>
      </w:r>
    </w:p>
    <w:bookmarkEnd w:id="29"/>
    <w:bookmarkStart w:id="30" w:name="conclusions-and-recommendations"/>
    <w:p>
      <w:pPr>
        <w:pStyle w:val="Heading3"/>
      </w:pPr>
      <w:r>
        <w:t xml:space="preserve">Conclusions and Recommendations</w:t>
      </w:r>
    </w:p>
    <w:p>
      <w:pPr>
        <w:pStyle w:val="FirstParagraph"/>
      </w:pPr>
      <w:r>
        <w:t xml:space="preserve">The role of the Financial Analyst in Germany Frankfurt is undergoing a profound transformation. To thrive in this environment, professionals must embrace a hybrid identity that combines deep financial expertise with technological proficiency and regulatory knowledge.</w:t>
      </w:r>
    </w:p>
    <w:p>
      <w:pPr>
        <w:numPr>
          <w:ilvl w:val="0"/>
          <w:numId w:val="1003"/>
        </w:numPr>
        <w:pStyle w:val="Compact"/>
      </w:pPr>
      <w:r>
        <w:rPr>
          <w:bCs/>
          <w:b/>
        </w:rPr>
        <w:t xml:space="preserve">For Academics:</w:t>
      </w:r>
      <w:r>
        <w:t xml:space="preserve"> </w:t>
      </w:r>
      <w:r>
        <w:t xml:space="preserve">Curricula should be updated to include mandatory modules on data science and European financial regulation.</w:t>
      </w:r>
    </w:p>
    <w:p>
      <w:pPr>
        <w:numPr>
          <w:ilvl w:val="0"/>
          <w:numId w:val="1003"/>
        </w:numPr>
        <w:pStyle w:val="Compact"/>
      </w:pPr>
      <w:r>
        <w:t xml:space="preserve">For Employers:</w:t>
      </w:r>
    </w:p>
    <w:bookmarkEnd w:id="30"/>
    <w:bookmarkEnd w:id="31"/>
    <w:bookmarkStart w:id="32" w:name="v.-future-research-directions"/>
    <w:p>
      <w:pPr>
        <w:pStyle w:val="Heading2"/>
      </w:pPr>
      <w:r>
        <w:t xml:space="preserve">V. Future Research Directions</w:t>
      </w:r>
    </w:p>
    <w:p>
      <w:pPr>
        <w:pStyle w:val="FirstParagraph"/>
      </w:pPr>
      <w:r>
        <w:t xml:space="preserve">This presentation highlights several avenues for future academic inquiry. Further research is needed to quantify the impact of AI on analyst productivity in European banks. Additionally, comparative studies examining the role of analysts in Frankfurt versus London or New York could yield valuable insights into regional best practices.</w:t>
      </w:r>
    </w:p>
    <w:p>
      <w:pPr>
        <w:pStyle w:val="BodyText"/>
      </w:pPr>
      <w:r>
        <w:rPr>
          <w:bCs/>
          <w:b/>
        </w:rPr>
        <w:t xml:space="preserve">References:</w:t>
      </w:r>
    </w:p>
    <w:p>
      <w:pPr>
        <w:numPr>
          <w:ilvl w:val="0"/>
          <w:numId w:val="1004"/>
        </w:numPr>
        <w:pStyle w:val="Compact"/>
      </w:pPr>
      <w:r>
        <w:t xml:space="preserve">Bundesbank Reports on Financial Stability in Germany, Frankfurt (2023).</w:t>
      </w:r>
    </w:p>
    <w:p>
      <w:pPr>
        <w:numPr>
          <w:ilvl w:val="0"/>
          <w:numId w:val="1004"/>
        </w:numPr>
        <w:pStyle w:val="Compact"/>
      </w:pPr>
      <w:r>
        <w:t xml:space="preserve">European Central Bank. "The Role of Finance in the Euro Area." Frankfurt ECB Publications.</w:t>
      </w:r>
    </w:p>
    <w:p>
      <w:pPr>
        <w:numPr>
          <w:ilvl w:val="0"/>
          <w:numId w:val="1004"/>
        </w:numPr>
        <w:pStyle w:val="Compact"/>
      </w:pPr>
      <w:r>
        <w:t xml:space="preserve">Gewerkschaft Metall. "Skills Gap Analysis: The Future of Work in German Finance."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Financial Analyst in Germany Frankfurt</dc:title>
  <dc:creator/>
  <dc:language>en</dc:language>
  <cp:keywords/>
  <dcterms:created xsi:type="dcterms:W3CDTF">2026-07-29T17:14:28Z</dcterms:created>
  <dcterms:modified xsi:type="dcterms:W3CDTF">2026-07-29T17:14:28Z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