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Iran,</w:t>
      </w:r>
      <w:r>
        <w:t xml:space="preserve"> </w:t>
      </w:r>
      <w:r>
        <w:t xml:space="preserve">Tehran</w:t>
      </w:r>
    </w:p>
    <w:bookmarkStart w:id="20" w:name="Xd9627bafa69c54a0e24aed6b2ff249aede5aca6"/>
    <w:p>
      <w:pPr>
        <w:pStyle w:val="Heading1"/>
      </w:pPr>
      <w:r>
        <w:t xml:space="preserve">Strategic Financial Analysis in Emerging Markets:</w:t>
      </w:r>
    </w:p>
    <w:p>
      <w:pPr>
        <w:pStyle w:val="FirstParagraph"/>
      </w:pPr>
      <w:r>
        <w:t xml:space="preserve">A Comprehensive Overview for Corporate Strategy in Iran, Tehran</w:t>
      </w:r>
    </w:p>
    <w:p>
      <w:pPr>
        <w:pStyle w:val="BodyText"/>
      </w:pPr>
      <w:r>
        <w:t xml:space="preserve">Presented by: Academic Research Team</w:t>
      </w:r>
      <w:r>
        <w:br/>
      </w:r>
      <w:r>
        <w:t xml:space="preserve">Focus: Regional Economic Stability &amp; Financial Analyst Competencies</w:t>
      </w:r>
      <w:r>
        <w:br/>
      </w:r>
      <w:r>
        <w:t xml:space="preserve">Context: Iran, Tehran Metropolitan Area</w:t>
      </w:r>
      <w:r>
        <w:br/>
      </w:r>
    </w:p>
    <w:bookmarkEnd w:id="20"/>
    <w:bookmarkStart w:id="21" w:name="Xe83889dfeee835abab40735a551f409700af9b3"/>
    <w:p>
      <w:pPr>
        <w:pStyle w:val="Heading2"/>
      </w:pPr>
      <w:r>
        <w:t xml:space="preserve">Contextual Background: The Economic Landscape of Iran, Tehran</w:t>
      </w:r>
    </w:p>
    <w:p>
      <w:pPr>
        <w:pStyle w:val="FirstParagraph"/>
      </w:pPr>
      <w:r>
        <w:t xml:space="preserve">The economic environment in</w:t>
      </w:r>
      <w:r>
        <w:t xml:space="preserve"> </w:t>
      </w:r>
      <w:r>
        <w:t xml:space="preserve">Iran</w:t>
      </w:r>
      <w:r>
        <w:t xml:space="preserve">, specifically within its capital city,</w:t>
      </w:r>
      <w:r>
        <w:t xml:space="preserve"> </w:t>
      </w:r>
      <w:r>
        <w:t xml:space="preserve">Tehran</w:t>
      </w:r>
      <w:r>
        <w:t xml:space="preserve">, presents a unique and complex matrix of opportunities and challenges. As one of the most significant economic hubs in the Middle East, Tehran serves as the central nervous system for Iran’s banking, insurance, and corporate sectors. For any</w:t>
      </w:r>
      <w:r>
        <w:t xml:space="preserve"> </w:t>
      </w:r>
      <w:r>
        <w:t xml:space="preserve">Financial Analyst</w:t>
      </w:r>
      <w:r>
        <w:t xml:space="preserve"> </w:t>
      </w:r>
      <w:r>
        <w:t xml:space="preserve">operating within this region or analyzing its markets from abroad, understanding local nuances is not merely beneficial; it is imperative.</w:t>
      </w:r>
    </w:p>
    <w:p>
      <w:pPr>
        <w:pStyle w:val="BodyText"/>
      </w:pPr>
      <w:r>
        <w:t xml:space="preserve">The financial ecosystem in Tehran is characterized by a dual-track currency system due to international sanctions, high inflationary pressures, and rapid fluctuations in the Rial. Consequently, traditional global financial models often require significant adaptation when applied to the</w:t>
      </w:r>
      <w:r>
        <w:t xml:space="preserve"> </w:t>
      </w:r>
      <w:r>
        <w:t xml:space="preserve">Iran</w:t>
      </w:r>
      <w:r>
        <w:t xml:space="preserve"> </w:t>
      </w:r>
      <w:r>
        <w:t xml:space="preserve">market. The role of the</w:t>
      </w:r>
      <w:r>
        <w:t xml:space="preserve"> </w:t>
      </w:r>
      <w:r>
        <w:t xml:space="preserve">Financial Analyst</w:t>
      </w:r>
      <w:r>
        <w:t xml:space="preserve"> </w:t>
      </w:r>
      <w:r>
        <w:t xml:space="preserve">here transcends simple data entry; it requires a deep sociopolitical awareness and an ability to navigate regulatory frameworks that are subject to frequent shifts.</w:t>
      </w:r>
    </w:p>
    <w:p>
      <w:pPr>
        <w:pStyle w:val="BodyText"/>
      </w:pPr>
      <w:r>
        <w:t xml:space="preserve">This poster presentation academic document aims to delineate the critical competencies required for effective financial analysis in this specific geographic and economic context. By focusing on Tehran, we highlight the broader implications for emerging market finance.</w:t>
      </w:r>
    </w:p>
    <w:bookmarkEnd w:id="21"/>
    <w:bookmarkStart w:id="22" w:name="Xb209478c4b09435faa54279e2b5dc0cee7523bb"/>
    <w:p>
      <w:pPr>
        <w:pStyle w:val="Heading2"/>
      </w:pPr>
      <w:r>
        <w:t xml:space="preserve">Core Competencies of the Modern Financial Analyst</w:t>
      </w:r>
    </w:p>
    <w:p>
      <w:pPr>
        <w:pStyle w:val="FirstParagraph"/>
      </w:pPr>
      <w:r>
        <w:t xml:space="preserve">In any robust academic discussion regarding finance, the definition of a</w:t>
      </w:r>
      <w:r>
        <w:t xml:space="preserve"> </w:t>
      </w:r>
      <w:r>
        <w:t xml:space="preserve">Financial Analyst</w:t>
      </w:r>
      <w:r>
        <w:t xml:space="preserve"> </w:t>
      </w:r>
      <w:r>
        <w:t xml:space="preserve">must be expanded beyond basic valuation. In the context of high-volatility markets like those in Tehran, these competencies become even more pronounced:</w:t>
      </w:r>
    </w:p>
    <w:p>
      <w:pPr>
        <w:numPr>
          <w:ilvl w:val="0"/>
          <w:numId w:val="1001"/>
        </w:numPr>
        <w:pStyle w:val="Compact"/>
      </w:pPr>
      <w:r>
        <w:rPr>
          <w:bCs/>
          <w:b/>
        </w:rPr>
        <w:t xml:space="preserve">Risk Assessment and Management:</w:t>
      </w:r>
      <w:r>
        <w:t xml:space="preserve"> </w:t>
      </w:r>
      <w:r>
        <w:t xml:space="preserve">A primary duty is identifying systemic risks. In Iran, this includes geopolitical risk premium assessment and currency devaluation hedging strategies.</w:t>
      </w:r>
    </w:p>
    <w:p>
      <w:pPr>
        <w:numPr>
          <w:ilvl w:val="0"/>
          <w:numId w:val="1001"/>
        </w:numPr>
        <w:pStyle w:val="Compact"/>
      </w:pPr>
      <w:r>
        <w:rPr>
          <w:bCs/>
          <w:b/>
        </w:rPr>
        <w:t xml:space="preserve">Cross-Border Compliance:</w:t>
      </w:r>
      <w:r>
        <w:t xml:space="preserve"> </w:t>
      </w:r>
      <w:r>
        <w:t xml:space="preserve">Understanding international sanctions compliance (OFAC, EU directives) is crucial. The</w:t>
      </w:r>
      <w:r>
        <w:t xml:space="preserve"> </w:t>
      </w:r>
      <w:r>
        <w:t xml:space="preserve">Financial Analyst</w:t>
      </w:r>
      <w:r>
        <w:t xml:space="preserve"> </w:t>
      </w:r>
      <w:r>
        <w:t xml:space="preserve">must ensure that all transactions within the corporate structure adhere to global legal standards while maintaining local operational viability.</w:t>
      </w:r>
    </w:p>
    <w:p>
      <w:pPr>
        <w:numPr>
          <w:ilvl w:val="0"/>
          <w:numId w:val="1001"/>
        </w:numPr>
        <w:pStyle w:val="Compact"/>
      </w:pPr>
      <w:r>
        <w:rPr>
          <w:bCs/>
          <w:b/>
        </w:rPr>
        <w:t xml:space="preserve">Liquidity Analysis:</w:t>
      </w:r>
      <w:r>
        <w:t xml:space="preserve"> </w:t>
      </w:r>
      <w:r>
        <w:t xml:space="preserve">Given the banking sector constraints in Tehran, cash flow management is paramount. Analysts must model liquidity scenarios with high granularity to account for potential capital control measures.</w:t>
      </w:r>
    </w:p>
    <w:p>
      <w:pPr>
        <w:numPr>
          <w:ilvl w:val="0"/>
          <w:numId w:val="1001"/>
        </w:numPr>
        <w:pStyle w:val="Compact"/>
      </w:pPr>
      <w:r>
        <w:rPr>
          <w:bCs/>
          <w:b/>
        </w:rPr>
        <w:t xml:space="preserve">Sector-Specific Valuation:</w:t>
      </w:r>
      <w:r>
        <w:t xml:space="preserve"> </w:t>
      </w:r>
      <w:r>
        <w:t xml:space="preserve">Iran’s economy is heavily reliant on oil and gas, but there is a growing push toward technology and manufacturing in Tehran. The</w:t>
      </w:r>
      <w:r>
        <w:t xml:space="preserve"> </w:t>
      </w:r>
      <w:r>
        <w:t xml:space="preserve">Financial Analyst</w:t>
      </w:r>
      <w:r>
        <w:t xml:space="preserve"> </w:t>
      </w:r>
      <w:r>
        <w:t xml:space="preserve">must adjust discount rates (WACC) to reflect the country risk premium accurately.</w:t>
      </w:r>
    </w:p>
    <w:p>
      <w:pPr>
        <w:pStyle w:val="FirstParagraph"/>
      </w:pPr>
      <w:r>
        <w:t xml:space="preserve">The adaptation of these skills is what distinguishes a generic analyst from one who can effectively contribute to strategic decision-making in complex environments like</w:t>
      </w:r>
      <w:r>
        <w:t xml:space="preserve"> </w:t>
      </w:r>
      <w:r>
        <w:t xml:space="preserve">Iran</w:t>
      </w:r>
      <w:r>
        <w:t xml:space="preserve">.</w:t>
      </w:r>
    </w:p>
    <w:bookmarkEnd w:id="22"/>
    <w:bookmarkStart w:id="26" w:name="methodological-framework-for-analysis"/>
    <w:p>
      <w:pPr>
        <w:pStyle w:val="Heading2"/>
      </w:pPr>
      <w:r>
        <w:t xml:space="preserve">Methodological Framework for Analysis</w:t>
      </w:r>
    </w:p>
    <w:p>
      <w:pPr>
        <w:pStyle w:val="FirstParagraph"/>
      </w:pPr>
      <w:r>
        <w:t xml:space="preserve">To provide a rigorous analysis suitable for an academic or high-level corporate presentation, we employ a mixed-method approach. This framework is designed to help</w:t>
      </w:r>
      <w:r>
        <w:t xml:space="preserve"> </w:t>
      </w:r>
      <w:r>
        <w:t xml:space="preserve">Financial Analysts</w:t>
      </w:r>
      <w:r>
        <w:t xml:space="preserve"> </w:t>
      </w:r>
      <w:r>
        <w:t xml:space="preserve">structure their inquiry into the Tehran market.</w:t>
      </w:r>
    </w:p>
    <w:bookmarkStart w:id="23" w:name="quantitative-modeling-adjustments"/>
    <w:p>
      <w:pPr>
        <w:pStyle w:val="Heading3"/>
      </w:pPr>
      <w:r>
        <w:t xml:space="preserve">1. Quantitative Modeling Adjustments</w:t>
      </w:r>
    </w:p>
    <w:p>
      <w:pPr>
        <w:pStyle w:val="FirstParagraph"/>
      </w:pPr>
      <w:r>
        <w:t xml:space="preserve">Standard Discounted Cash Flow (DCF) models often fail in hyperinflationary environments. Analysts must utilize real-value modeling techniques, adjusting future cash flows to current purchasing power parity (PPP) before discounting. This is particularly relevant for long-term projects in the Tehran infrastructure sector.</w:t>
      </w:r>
    </w:p>
    <w:bookmarkEnd w:id="23"/>
    <w:bookmarkStart w:id="24" w:name="qualitative-stakeholder-analysis"/>
    <w:p>
      <w:pPr>
        <w:pStyle w:val="Heading3"/>
      </w:pPr>
      <w:r>
        <w:t xml:space="preserve">2. Qualitative Stakeholder Analysis</w:t>
      </w:r>
    </w:p>
    <w:p>
      <w:pPr>
        <w:pStyle w:val="FirstParagraph"/>
      </w:pPr>
      <w:r>
        <w:t xml:space="preserve">In Iran, relationships and institutional trust play a larger role than in Western markets. A thorough financial analysis must include a qualitative assessment of stakeholder networks, including government ministries that heavily influence the banking sector in Tehran.</w:t>
      </w:r>
    </w:p>
    <w:bookmarkEnd w:id="24"/>
    <w:bookmarkStart w:id="25" w:name="comparative-benchmarking"/>
    <w:p>
      <w:pPr>
        <w:pStyle w:val="Heading3"/>
      </w:pPr>
      <w:r>
        <w:t xml:space="preserve">3. Comparative Benchmarking</w:t>
      </w:r>
    </w:p>
    <w:p>
      <w:pPr>
        <w:pStyle w:val="FirstParagraph"/>
      </w:pPr>
      <w:r>
        <w:t xml:space="preserve">Analysts should compare Tehran-listed companies not just against regional peers, but against historical data from before major economic shocks (such as the 2018 sanctions reinstatement). This longitudinal analysis provides a clearer picture of resilience and recovery potential.</w:t>
      </w:r>
    </w:p>
    <w:bookmarkEnd w:id="25"/>
    <w:bookmarkEnd w:id="26"/>
    <w:bookmarkStart w:id="28" w:name="implications-for-policy-and-strategy"/>
    <w:p>
      <w:pPr>
        <w:pStyle w:val="Heading2"/>
      </w:pPr>
      <w:r>
        <w:t xml:space="preserve">Implications for Policy and Strategy</w:t>
      </w:r>
    </w:p>
    <w:p>
      <w:pPr>
        <w:pStyle w:val="FirstParagraph"/>
      </w:pPr>
      <w:r>
        <w:t xml:space="preserve">The findings presented in this poster underscore that effective financial analysis is not a one-size-fits-all discipline. For investors and corporations looking to engage with</w:t>
      </w:r>
      <w:r>
        <w:t xml:space="preserve"> </w:t>
      </w:r>
      <w:r>
        <w:t xml:space="preserve">Iran</w:t>
      </w:r>
      <w:r>
        <w:t xml:space="preserve">, specifically the vibrant business district of Tehran, a localized approach is non-negotiable.</w:t>
      </w:r>
    </w:p>
    <w:p>
      <w:pPr>
        <w:pStyle w:val="BodyText"/>
      </w:pPr>
      <w:r>
        <w:rPr>
          <w:bCs/>
          <w:b/>
        </w:rPr>
        <w:t xml:space="preserve">For Policy Makers:</w:t>
      </w:r>
      <w:r>
        <w:t xml:space="preserve"> </w:t>
      </w:r>
      <w:r>
        <w:t xml:space="preserve">Enhancing transparency and standardizing reporting requirements in Tehran can lower the country risk premium, making it more attractive to foreign direct investment.</w:t>
      </w:r>
      <w:r>
        <w:t xml:space="preserve"> </w:t>
      </w:r>
      <w:r>
        <w:t xml:space="preserve">Financial Analysts</w:t>
      </w:r>
      <w:r>
        <w:t xml:space="preserve"> </w:t>
      </w:r>
      <w:r>
        <w:t xml:space="preserve">from international bodies can play a key role in advocating for these standards.</w:t>
      </w:r>
    </w:p>
    <w:p>
      <w:pPr>
        <w:pStyle w:val="BodyText"/>
      </w:pPr>
      <w:r>
        <w:rPr>
          <w:bCs/>
          <w:b/>
        </w:rPr>
        <w:t xml:space="preserve">For Corporate Leaders:</w:t>
      </w:r>
      <w:r>
        <w:t xml:space="preserve"> </w:t>
      </w:r>
      <w:r>
        <w:t xml:space="preserve">Investing in local talent who possess both international financial qualifications and deep local market knowledge is the most effective hedge against uncertainty. The ideal</w:t>
      </w:r>
      <w:r>
        <w:t xml:space="preserve"> </w:t>
      </w:r>
      <w:r>
        <w:t xml:space="preserve">Financial Analyst</w:t>
      </w:r>
      <w:r>
        <w:t xml:space="preserve"> </w:t>
      </w:r>
      <w:r>
        <w:t xml:space="preserve">in Tehran is bilingual not just linguistically, but culturally and numerically.</w:t>
      </w:r>
    </w:p>
    <w:bookmarkStart w:id="27" w:name="conclusion"/>
    <w:p>
      <w:pPr>
        <w:pStyle w:val="Heading3"/>
      </w:pPr>
      <w:r>
        <w:t xml:space="preserve">Conclusion</w:t>
      </w:r>
    </w:p>
    <w:p>
      <w:pPr>
        <w:pStyle w:val="FirstParagraph"/>
      </w:pPr>
      <w:r>
        <w:t xml:space="preserve">This poster presentation academic document has explored the multifaceted role of the</w:t>
      </w:r>
      <w:r>
        <w:t xml:space="preserve"> </w:t>
      </w:r>
      <w:r>
        <w:t xml:space="preserve">Financial Analyst</w:t>
      </w:r>
      <w:r>
        <w:t xml:space="preserve"> </w:t>
      </w:r>
      <w:r>
        <w:t xml:space="preserve">within the unique economic landscape of Iran, Tehran. By combining rigorous quantitative methods with deep qualitative understanding, analysts can unlock value and manage risk in one of the world’s most complex markets. The future stability and growth of Tehran’s financial sector depend on such analytical precision and strategic foresight.</w:t>
      </w:r>
    </w:p>
    <w:p>
      <w:pPr>
        <w:pStyle w:val="BodyText"/>
      </w:pPr>
      <w:r>
        <w:t xml:space="preserve">Keywords:</w:t>
      </w:r>
    </w:p>
    <w:p>
      <w:pPr>
        <w:numPr>
          <w:ilvl w:val="0"/>
          <w:numId w:val="1002"/>
        </w:numPr>
        <w:pStyle w:val="Compact"/>
      </w:pPr>
      <w:r>
        <w:t xml:space="preserve">- Financial Analyst</w:t>
      </w:r>
    </w:p>
    <w:p>
      <w:pPr>
        <w:numPr>
          <w:ilvl w:val="0"/>
          <w:numId w:val="1002"/>
        </w:numPr>
        <w:pStyle w:val="Compact"/>
      </w:pPr>
      <w:r>
        <w:t xml:space="preserve">- Iran Economy</w:t>
      </w:r>
    </w:p>
    <w:p>
      <w:pPr>
        <w:numPr>
          <w:ilvl w:val="0"/>
          <w:numId w:val="1002"/>
        </w:numPr>
        <w:pStyle w:val="Compact"/>
      </w:pPr>
      <w:r>
        <w:t xml:space="preserve">- Tehran Banking Sector</w:t>
      </w:r>
    </w:p>
    <w:p>
      <w:pPr>
        <w:numPr>
          <w:ilvl w:val="0"/>
          <w:numId w:val="1002"/>
        </w:numPr>
        <w:pStyle w:val="Compact"/>
      </w:pPr>
      <w:r>
        <w:t xml:space="preserve">- Emerging Market Finance</w:t>
      </w:r>
    </w:p>
    <w:bookmarkEnd w:id="27"/>
    <w:bookmarkEnd w:id="28"/>
    <w:p>
      <w:pPr>
        <w:pStyle w:val="FirstParagraph"/>
      </w:pPr>
      <w:r>
        <w:t xml:space="preserve">© 2023 Academic Research on Emerging Markets. All Rights Reserved.</w:t>
      </w:r>
    </w:p>
    <w:p>
      <w:pPr>
        <w:pStyle w:val="BodyText"/>
      </w:pPr>
      <w:r>
        <w:t xml:space="preserve">This document is formatted as a Poster Presentation for clarity and impact, focusing on the role of Financial Analyst in Iran,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Role in Iran, Tehran</dc:title>
  <dc:creator/>
  <dc:language>en</dc:language>
  <cp:keywords/>
  <dcterms:created xsi:type="dcterms:W3CDTF">2026-07-29T09:49:30Z</dcterms:created>
  <dcterms:modified xsi:type="dcterms:W3CDTF">2026-07-29T09:49:30Z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