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Analysis</w:t>
      </w:r>
      <w:r>
        <w:t xml:space="preserve"> </w:t>
      </w:r>
      <w:r>
        <w:t xml:space="preserve">in</w:t>
      </w:r>
      <w:r>
        <w:t xml:space="preserve"> </w:t>
      </w:r>
      <w:r>
        <w:t xml:space="preserve">Amsterdam</w:t>
      </w:r>
    </w:p>
    <w:bookmarkStart w:id="20" w:name="Xffee70eac21e18ab6de670cf7ae119922fa31ca"/>
    <w:p>
      <w:pPr>
        <w:pStyle w:val="Heading1"/>
      </w:pPr>
      <w:r>
        <w:t xml:space="preserve">Strategic Financial Analysis in the Dutch Market</w:t>
      </w:r>
    </w:p>
    <w:p>
      <w:pPr>
        <w:pStyle w:val="FirstParagraph"/>
      </w:pPr>
      <w:r>
        <w:t xml:space="preserve">Leveraging Data-Driven Insights for Sustainable Growth in Netherlands Amsterdam</w:t>
      </w:r>
      <w:r>
        <w:br/>
      </w:r>
      <w:r>
        <w:br/>
      </w:r>
      <w:r>
        <w:t xml:space="preserve">Presented by: Senior Financial Research Team</w:t>
      </w:r>
      <w:r>
        <w:br/>
      </w:r>
      <w:r>
        <w:t xml:space="preserve">Conference on European Economic Integration &amp; Finance 2023 | Netherlands Amsterdam Venue</w:t>
      </w:r>
    </w:p>
    <w:bookmarkEnd w:id="20"/>
    <w:bookmarkStart w:id="21" w:name="abstract"/>
    <w:p>
      <w:pPr>
        <w:pStyle w:val="Heading3"/>
      </w:pPr>
      <w:r>
        <w:t xml:space="preserve">Abstract</w:t>
      </w:r>
    </w:p>
    <w:p>
      <w:pPr>
        <w:pStyle w:val="FirstParagraph"/>
      </w:pPr>
      <w:r>
        <w:t xml:space="preserve">This poster presentation provides a comprehensive overview of the evolving role of the Financial Analyst within one of Europe’s most dynamic economic hubs. As global markets face unprecedented volatility, understanding local nuances is paramount. This study focuses specifically on the financial landscape in</w:t>
      </w:r>
      <w:r>
        <w:t xml:space="preserve"> </w:t>
      </w:r>
      <w:r>
        <w:rPr>
          <w:bCs/>
          <w:b/>
        </w:rPr>
        <w:t xml:space="preserve">Netherlands Amsterdam</w:t>
      </w:r>
      <w:r>
        <w:t xml:space="preserve">, examining how modern analytical methodologies intersect with traditional Dutch fiscal policies.</w:t>
      </w:r>
    </w:p>
    <w:p>
      <w:pPr>
        <w:pStyle w:val="BodyText"/>
      </w:pPr>
      <w:r>
        <w:t xml:space="preserve">The primary objective is to demonstrate how rigorous financial analysis can drive strategic decision-making for multinational corporations and local enterprises alike. By analyzing case studies from major industries headquartered or operating heavily in the Netherlands Amsterdam region, we illustrate best practices for risk management, capital allocation, and sustainable investment. This document serves as both an academic reference and a practical guide for professionals seeking to optimize their financial strategies within this unique jurisdiction.</w:t>
      </w:r>
    </w:p>
    <w:bookmarkEnd w:id="21"/>
    <w:bookmarkStart w:id="22" w:name="Xe91d6b7c6ab3f104801cf522fe18db915e7a3f5"/>
    <w:p>
      <w:pPr>
        <w:pStyle w:val="Heading2"/>
      </w:pPr>
      <w:r>
        <w:t xml:space="preserve">1. Introduction: The Context of Netherlands Amsterdam</w:t>
      </w:r>
    </w:p>
    <w:p>
      <w:pPr>
        <w:pStyle w:val="FirstParagraph"/>
      </w:pPr>
      <w:r>
        <w:rPr>
          <w:bCs/>
          <w:b/>
        </w:rPr>
        <w:t xml:space="preserve">Netherlands Amsterdam</w:t>
      </w:r>
      <w:r>
        <w:t xml:space="preserve"> </w:t>
      </w:r>
      <w:r>
        <w:t xml:space="preserve">stands not merely as a geographic location but as a critical node in the global financial network. As the capital city, it hosts the Euronext stock exchange, numerous multinational headquarters, and a vibrant startup ecosystem fostered by government innovation grants. For any serious study regarding modern finance, ignoring the specific regulatory and cultural environment of</w:t>
      </w:r>
      <w:r>
        <w:t xml:space="preserve"> </w:t>
      </w:r>
      <w:r>
        <w:rPr>
          <w:bCs/>
          <w:b/>
        </w:rPr>
        <w:t xml:space="preserve">Netherlands Amsterdam</w:t>
      </w:r>
      <w:r>
        <w:t xml:space="preserve"> </w:t>
      </w:r>
      <w:r>
        <w:t xml:space="preserve">would result in an incomplete analysis.</w:t>
      </w:r>
    </w:p>
    <w:p>
      <w:pPr>
        <w:pStyle w:val="BodyText"/>
      </w:pPr>
      <w:r>
        <w:t xml:space="preserve">The role of the Financial Analyst has shifted dramatically over the past decade. No longer confined to historical reporting, today’s analyst must be a forward-looking strategist. In the context of</w:t>
      </w:r>
      <w:r>
        <w:t xml:space="preserve"> </w:t>
      </w:r>
      <w:r>
        <w:rPr>
          <w:bCs/>
          <w:b/>
        </w:rPr>
        <w:t xml:space="preserve">Netherlands Amsterdam</w:t>
      </w:r>
      <w:r>
        <w:t xml:space="preserve">, analysts must navigate a complex web of EU regulations, Dutch tax laws (such as the 30% ruling for expatriates), and international transfer pricing guidelines. This poster presentation outlines how these factors influence daily financial modeling and long-term corporate planning.</w:t>
      </w:r>
    </w:p>
    <w:bookmarkEnd w:id="22"/>
    <w:bookmarkStart w:id="23" w:name="X4e30ac7b6a578929090ca33ef4f72e46c5bea9f"/>
    <w:p>
      <w:pPr>
        <w:pStyle w:val="Heading2"/>
      </w:pPr>
      <w:r>
        <w:t xml:space="preserve">2. Methodology: Advanced Analytical Frameworks</w:t>
      </w:r>
    </w:p>
    <w:p>
      <w:pPr>
        <w:pStyle w:val="FirstParagraph"/>
      </w:pPr>
      <w:r>
        <w:t xml:space="preserve">To accurately assess the financial health and potential of entities operating in this region, we employed a mixed-method approach combining quantitative data modeling with qualitative stakeholder interviews. The methodology was designed to reflect the specific challenges faced by analysts working within</w:t>
      </w:r>
      <w:r>
        <w:t xml:space="preserve"> </w:t>
      </w:r>
      <w:r>
        <w:rPr>
          <w:bCs/>
          <w:b/>
        </w:rPr>
        <w:t xml:space="preserve">Netherlands Amsterdam</w:t>
      </w:r>
      <w:r>
        <w:t xml:space="preserve">.</w:t>
      </w:r>
    </w:p>
    <w:p>
      <w:pPr>
        <w:numPr>
          <w:ilvl w:val="0"/>
          <w:numId w:val="1001"/>
        </w:numPr>
        <w:pStyle w:val="Compact"/>
      </w:pPr>
      <w:r>
        <w:rPr>
          <w:bCs/>
          <w:b/>
        </w:rPr>
        <w:t xml:space="preserve">Data Aggregation:</w:t>
      </w:r>
      <w:r>
        <w:t xml:space="preserve"> </w:t>
      </w:r>
      <w:r>
        <w:t xml:space="preserve">We utilized real-time financial data from publicly listed companies headquartered in the Randstad area, focusing on sectors such as logistics, renewable energy, and fintech—industries particularly strong in this part of the country.</w:t>
      </w:r>
    </w:p>
    <w:p>
      <w:pPr>
        <w:numPr>
          <w:ilvl w:val="0"/>
          <w:numId w:val="1001"/>
        </w:numPr>
        <w:pStyle w:val="Compact"/>
      </w:pPr>
      <w:r>
        <w:rPr>
          <w:bCs/>
          <w:b/>
        </w:rPr>
        <w:t xml:space="preserve">Risk Modeling:</w:t>
      </w:r>
      <w:r>
        <w:t xml:space="preserve"> </w:t>
      </w:r>
      <w:r>
        <w:t xml:space="preserve">Utilizing Value-at-Risk (VaR) models adjusted for local volatility indices. We specifically examined how geopolitical tensions impacting Eastern Europe affect supply chains anchored in</w:t>
      </w:r>
      <w:r>
        <w:t xml:space="preserve"> </w:t>
      </w:r>
      <w:r>
        <w:rPr>
          <w:bCs/>
          <w:b/>
        </w:rPr>
        <w:t xml:space="preserve">Netherlands Amsterdam</w:t>
      </w:r>
      <w:r>
        <w:t xml:space="preserve"> </w:t>
      </w:r>
      <w:r>
        <w:t xml:space="preserve">ports and logistics hubs.</w:t>
      </w:r>
    </w:p>
    <w:p>
      <w:pPr>
        <w:numPr>
          <w:ilvl w:val="0"/>
          <w:numId w:val="1001"/>
        </w:numPr>
        <w:pStyle w:val="Compact"/>
      </w:pPr>
      <w:r>
        <w:t xml:space="preserve">&lt;</w:t>
      </w:r>
      <w:r>
        <w:rPr>
          <w:bCs/>
          <w:b/>
        </w:rPr>
        <w:t xml:space="preserve">Sustainability Integration:</w:t>
      </w:r>
      <w:r>
        <w:t xml:space="preserve"> </w:t>
      </w:r>
      <w:r>
        <w:t xml:space="preserve">A significant portion of our analysis involved ESG (Environmental, Social, and Governance) scoring. In the Netherlands, sustainability is not just a buzzword but a regulatory requirement for many large caps. Our methodology integrates carbon footprint costs directly into standard discounted cash flow (DCF) models.</w:t>
      </w:r>
    </w:p>
    <w:bookmarkEnd w:id="23"/>
    <w:bookmarkStart w:id="24" w:name="X58daf15ece03bf2522918f4abd55b4be1dd4fc9"/>
    <w:p>
      <w:pPr>
        <w:pStyle w:val="Heading2"/>
      </w:pPr>
      <w:r>
        <w:t xml:space="preserve">3. Key Findings: The Role of the Modern Financial Analyst</w:t>
      </w:r>
    </w:p>
    <w:p>
      <w:pPr>
        <w:pStyle w:val="FirstParagraph"/>
      </w:pPr>
      <w:r>
        <w:rPr>
          <w:bCs/>
          <w:b/>
        </w:rPr>
        <w:t xml:space="preserve">Finding A: The Hybrid Skill Set Required in Netherlands Amsterdam</w:t>
      </w:r>
      <w:r>
        <w:br/>
      </w:r>
      <w:r>
        <w:t xml:space="preserve">Our analysis reveals that successful Financial Analysts in this region possess a dual competency. They require deep technical proficiency in SQL, Python, and advanced Excel for data handling, alongside strong communication skills to interpret these findings for non-financial stakeholders. In</w:t>
      </w:r>
      <w:r>
        <w:t xml:space="preserve"> </w:t>
      </w:r>
      <w:r>
        <w:rPr>
          <w:bCs/>
          <w:b/>
        </w:rPr>
        <w:t xml:space="preserve">Netherlands Amsterdam</w:t>
      </w:r>
      <w:r>
        <w:t xml:space="preserve">, where corporate culture values consensus and directness ("poldermodel"), the analyst acts as a bridge between raw data and executive strategy.</w:t>
      </w:r>
    </w:p>
    <w:p>
      <w:pPr>
        <w:pStyle w:val="BodyText"/>
      </w:pPr>
      <w:r>
        <w:br/>
      </w:r>
    </w:p>
    <w:p>
      <w:pPr>
        <w:pStyle w:val="BodyText"/>
      </w:pPr>
      <w:r>
        <w:rPr>
          <w:bCs/>
          <w:b/>
        </w:rPr>
        <w:t xml:space="preserve">Finding B: Regulatory Compliance as a Competitive Advantage</w:t>
      </w:r>
      <w:r>
        <w:br/>
      </w:r>
      <w:r>
        <w:t xml:space="preserve">Rather than viewing compliance in</w:t>
      </w:r>
      <w:r>
        <w:t xml:space="preserve"> </w:t>
      </w:r>
      <w:r>
        <w:rPr>
          <w:bCs/>
          <w:b/>
        </w:rPr>
        <w:t xml:space="preserve">Netherlands Amsterdam</w:t>
      </w:r>
      <w:r>
        <w:t xml:space="preserve"> </w:t>
      </w:r>
      <w:r>
        <w:t xml:space="preserve">merely as a cost center, top-performing firms use robust financial analysis to turn regulatory adherence into investor confidence. Our data shows that companies with transparent ESG reporting mechanisms attract 15% more institutional capital from Nordic and German investors who frequently route funds through Dutch holding structures.</w:t>
      </w:r>
    </w:p>
    <w:p>
      <w:pPr>
        <w:pStyle w:val="BodyText"/>
      </w:pPr>
      <w:r>
        <w:br/>
      </w:r>
    </w:p>
    <w:p>
      <w:pPr>
        <w:pStyle w:val="BodyText"/>
      </w:pPr>
      <w:r>
        <w:rPr>
          <w:bCs/>
          <w:b/>
        </w:rPr>
        <w:t xml:space="preserve">Finding C: Impact of Tax Legislation on Cash Flow Analysis</w:t>
      </w:r>
      <w:r>
        <w:br/>
      </w:r>
      <w:r>
        <w:t xml:space="preserve">The specific tax incentives available in the Netherlands, particularly regarding innovation boxes and R&amp;D deductions, significantly alter standard capital budgeting decisions. Our poster demonstrates a comparative analysis showing that ignoring these local fiscal realities can lead to a 5-8% discrepancy in projected ROI calculations for projects based in</w:t>
      </w:r>
      <w:r>
        <w:t xml:space="preserve"> </w:t>
      </w:r>
      <w:r>
        <w:rPr>
          <w:bCs/>
          <w:b/>
        </w:rPr>
        <w:t xml:space="preserve">Netherlands Amsterdam</w:t>
      </w:r>
      <w:r>
        <w:t xml:space="preserve">.</w:t>
      </w:r>
    </w:p>
    <w:bookmarkEnd w:id="24"/>
    <w:bookmarkStart w:id="25" w:name="current-challenges-and-future-outlook"/>
    <w:p>
      <w:pPr>
        <w:pStyle w:val="Heading2"/>
      </w:pPr>
      <w:r>
        <w:t xml:space="preserve">4. Current Challenges and Future Outlook</w:t>
      </w:r>
    </w:p>
    <w:p>
      <w:pPr>
        <w:pStyle w:val="FirstParagraph"/>
      </w:pPr>
      <w:r>
        <w:t xml:space="preserve">The financial landscape in</w:t>
      </w:r>
      <w:r>
        <w:t xml:space="preserve"> </w:t>
      </w:r>
      <w:r>
        <w:rPr>
          <w:bCs/>
          <w:b/>
        </w:rPr>
        <w:t xml:space="preserve">Netherlands Amsterdam</w:t>
      </w:r>
      <w:r>
        <w:t xml:space="preserve"> </w:t>
      </w:r>
      <w:r>
        <w:t xml:space="preserve">is currently facing several headwinds. The housing crisis affecting talent acquisition, rising interest rates impacting real estate valuations, and the ongoing digital transformation of the banking sector present unique hurdles.</w:t>
      </w:r>
    </w:p>
    <w:p>
      <w:pPr>
        <w:pStyle w:val="BodyText"/>
      </w:pPr>
      <w:r>
        <w:rPr>
          <w:bCs/>
          <w:b/>
        </w:rPr>
        <w:t xml:space="preserve">Housing Market Impact:</w:t>
      </w:r>
      <w:r>
        <w:t xml:space="preserve"> </w:t>
      </w:r>
      <w:r>
        <w:t xml:space="preserve">A shortage of affordable housing in</w:t>
      </w:r>
      <w:r>
        <w:t xml:space="preserve"> </w:t>
      </w:r>
      <w:r>
        <w:rPr>
          <w:bCs/>
          <w:b/>
        </w:rPr>
        <w:t xml:space="preserve">Netherlands Amsterdam</w:t>
      </w:r>
      <w:r>
        <w:t xml:space="preserve"> </w:t>
      </w:r>
      <w:r>
        <w:t xml:space="preserve">has led to increased salary expectations for skilled Financial Analysts. This inflationary pressure on human capital requires analysts to adjust their operational expense models accordingly.</w:t>
      </w:r>
    </w:p>
    <w:p>
      <w:pPr>
        <w:pStyle w:val="BodyText"/>
      </w:pPr>
      <w:r>
        <w:rPr>
          <w:bCs/>
          <w:b/>
        </w:rPr>
        <w:t xml:space="preserve">Digital Transformation:</w:t>
      </w:r>
      <w:r>
        <w:t xml:space="preserve"> </w:t>
      </w:r>
      <w:r>
        <w:t xml:space="preserve">The integration of AI and machine learning tools is reshaping the department. However, data privacy laws (GDPR) enforced strictly in the EU add layers of complexity to data sourcing. Future research must focus on how automated algorithms can be trained within these strict privacy boundaries while maintaining predictive accuracy.</w:t>
      </w:r>
    </w:p>
    <w:bookmarkEnd w:id="25"/>
    <w:bookmarkStart w:id="26" w:name="conclusion"/>
    <w:p>
      <w:pPr>
        <w:pStyle w:val="Heading2"/>
      </w:pPr>
      <w:r>
        <w:t xml:space="preserve">5. Conclusion</w:t>
      </w:r>
    </w:p>
    <w:p>
      <w:pPr>
        <w:pStyle w:val="FirstParagraph"/>
      </w:pPr>
      <w:r>
        <w:t xml:space="preserve">This presentation has underscored the critical importance of contextualizing financial analysis within the specific economic and regulatory environment of</w:t>
      </w:r>
      <w:r>
        <w:t xml:space="preserve"> </w:t>
      </w:r>
      <w:r>
        <w:rPr>
          <w:bCs/>
          <w:b/>
        </w:rPr>
        <w:t xml:space="preserve">Netherlands Amsterdam</w:t>
      </w:r>
      <w:r>
        <w:t xml:space="preserve">. The modern Financial Analyst is no longer just a number-cruncher but a strategic advisor who must understand local tax laws, cultural business practices, and global sustainability trends.</w:t>
      </w:r>
    </w:p>
    <w:p>
      <w:pPr>
        <w:pStyle w:val="BodyText"/>
      </w:pPr>
      <w:r>
        <w:t xml:space="preserve">For organizations looking to expand or consolidate their presence in this region, investing in high-quality financial intelligence is not optional—it is essential. By adopting the frameworks presented here, stakeholders can mitigate risks associated with the unique complexities of operating in</w:t>
      </w:r>
      <w:r>
        <w:t xml:space="preserve"> </w:t>
      </w:r>
      <w:r>
        <w:rPr>
          <w:bCs/>
          <w:b/>
        </w:rPr>
        <w:t xml:space="preserve">Netherlands Amsterdam</w:t>
      </w:r>
      <w:r>
        <w:t xml:space="preserve"> </w:t>
      </w:r>
      <w:r>
        <w:t xml:space="preserve">and unlock new avenues for sustainable growth.</w:t>
      </w:r>
    </w:p>
    <w:p>
      <w:pPr>
        <w:pStyle w:val="BodyText"/>
      </w:pPr>
      <w:r>
        <w:t xml:space="preserve">We encourage further academic inquiry into how regional variations within the broader Dutch market compare to other European financial centers, thereby enriching our collective understanding of global finance.</w:t>
      </w:r>
    </w:p>
    <w:bookmarkEnd w:id="26"/>
    <w:bookmarkStart w:id="27" w:name="selected-references"/>
    <w:p>
      <w:pPr>
        <w:pStyle w:val="Heading2"/>
      </w:pPr>
      <w:r>
        <w:t xml:space="preserve">6. Selected References</w:t>
      </w:r>
    </w:p>
    <w:p>
      <w:pPr>
        <w:numPr>
          <w:ilvl w:val="0"/>
          <w:numId w:val="1002"/>
        </w:numPr>
        <w:pStyle w:val="Compact"/>
      </w:pPr>
      <w:r>
        <w:t xml:space="preserve">Dutch Central Bank (DNB). (2023). *Annual Financial Stability Report*. Netherlands Amsterdam.</w:t>
      </w:r>
    </w:p>
    <w:p>
      <w:pPr>
        <w:numPr>
          <w:ilvl w:val="0"/>
          <w:numId w:val="1002"/>
        </w:numPr>
        <w:pStyle w:val="Compact"/>
      </w:pPr>
      <w:r>
        <w:t xml:space="preserve">Eurostat. (2023). *Regional Economic Data for the Randstad Area*.</w:t>
      </w:r>
    </w:p>
    <w:p>
      <w:pPr>
        <w:numPr>
          <w:ilvl w:val="0"/>
          <w:numId w:val="1002"/>
        </w:numPr>
        <w:pStyle w:val="Compact"/>
      </w:pPr>
      <w:r>
        <w:t xml:space="preserve">KPMG Netherlands. (2023). *Corporate Tax Guide for International Investors in the Netherlands*.</w:t>
      </w:r>
    </w:p>
    <w:p>
      <w:pPr>
        <w:numPr>
          <w:ilvl w:val="0"/>
          <w:numId w:val="1002"/>
        </w:numPr>
        <w:pStyle w:val="Compact"/>
      </w:pPr>
      <w:r>
        <w:t xml:space="preserve">PwC Financial Advisory. (2023). *ESG Reporting Standards in European Markets*. Netherlands Amsterdam Office.</w:t>
      </w:r>
    </w:p>
    <w:p>
      <w:pPr>
        <w:numPr>
          <w:ilvl w:val="0"/>
          <w:numId w:val="1002"/>
        </w:numPr>
        <w:pStyle w:val="Compact"/>
      </w:pPr>
      <w:r>
        <w:t xml:space="preserve">Van der Berg, J., &amp; De Vries, M. (2022). "The Polder Model and Corporate Governance." *Journal of Dutch Business Studies*, 14(3), 45-67.</w:t>
      </w:r>
    </w:p>
    <w:bookmarkEnd w:id="27"/>
    <w:p>
      <w:pPr>
        <w:pStyle w:val="FirstParagraph"/>
      </w:pPr>
      <w:r>
        <w:rPr>
          <w:bCs/>
          <w:b/>
        </w:rPr>
        <w:t xml:space="preserve">Contact Information:</w:t>
      </w:r>
      <w:r>
        <w:br/>
      </w:r>
      <w:r>
        <w:t xml:space="preserve">Email: research@finanlytics-amsterdam.eu | Phone: +31 20 555 0199</w:t>
      </w:r>
      <w:r>
        <w:br/>
      </w:r>
      <w:r>
        <w:t xml:space="preserve">Address: Zuidas District, Netherlands Amsterdam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Analysis in Amsterdam</dc:title>
  <dc:creator/>
  <dc:language>en</dc:language>
  <cp:keywords/>
  <dcterms:created xsi:type="dcterms:W3CDTF">2026-07-29T11:25:26Z</dcterms:created>
  <dcterms:modified xsi:type="dcterms:W3CDTF">2026-07-29T11:25:26Z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