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Moscow</w:t>
      </w:r>
      <w:r>
        <w:t xml:space="preserve"> </w:t>
      </w:r>
      <w:r>
        <w:t xml:space="preserve">Market</w:t>
      </w:r>
      <w:r>
        <w:t xml:space="preserve"> </w:t>
      </w:r>
      <w:r>
        <w:t xml:space="preserve">Dynamics</w:t>
      </w:r>
    </w:p>
    <w:bookmarkStart w:id="21" w:name="X3d01391fb9ca91b850c340cb54783351e76c465"/>
    <w:p>
      <w:pPr>
        <w:pStyle w:val="Heading1"/>
      </w:pPr>
      <w:r>
        <w:t xml:space="preserve">Analyzing Market Volatility in Russia Moscow</w:t>
      </w:r>
    </w:p>
    <w:bookmarkStart w:id="20" w:name="Xc6d9b562f2a82287ee5c58f09ba5646e53c17d0"/>
    <w:p>
      <w:pPr>
        <w:pStyle w:val="Heading2"/>
      </w:pPr>
      <w:r>
        <w:t xml:space="preserve">A Strategic Approach to Financial Analysis amidst Global Sanctions</w:t>
      </w:r>
    </w:p>
    <w:p>
      <w:pPr>
        <w:pStyle w:val="FirstParagraph"/>
      </w:pPr>
      <w:r>
        <w:rPr>
          <w:bCs/>
          <w:b/>
        </w:rPr>
        <w:t xml:space="preserve">Presented by:</w:t>
      </w:r>
      <w:r>
        <w:t xml:space="preserve"> </w:t>
      </w:r>
      <w:r>
        <w:t xml:space="preserve">Academic Research Group | International Finance Symposium, 2023-2024 Cycle</w:t>
      </w:r>
    </w:p>
    <w:bookmarkEnd w:id="20"/>
    <w:bookmarkEnd w:id="21"/>
    <w:bookmarkStart w:id="22" w:name="introduction"/>
    <w:p>
      <w:pPr>
        <w:pStyle w:val="Heading3"/>
      </w:pPr>
      <w:r>
        <w:t xml:space="preserve">1.0 Introduction</w:t>
      </w:r>
    </w:p>
    <w:p>
      <w:pPr>
        <w:pStyle w:val="FirstParagraph"/>
      </w:pPr>
      <w:r>
        <w:t xml:space="preserve">The role of the modern Financial Analyst has evolved dramatically in recent years, particularly when focusing on emerging markets subjected to geopolitical shifts. This presentation focuses on the specific economic landscape of Russia Moscow, where traditional analytical models face unprecedented challenges and opportunities.</w:t>
      </w:r>
    </w:p>
    <w:p>
      <w:pPr>
        <w:pStyle w:val="BodyText"/>
      </w:pPr>
      <w:r>
        <w:t xml:space="preserve">Russia Moscow remains a critical node in global energy trading and regional infrastructure development. Despite international sanctions and macroeconomic instability, the financial ecosystem within this capital region continues to demand rigorous analysis to navigate risk effectively.</w:t>
      </w:r>
    </w:p>
    <w:bookmarkEnd w:id="22"/>
    <w:bookmarkStart w:id="23" w:name="methodological-framework"/>
    <w:p>
      <w:pPr>
        <w:pStyle w:val="Heading3"/>
      </w:pPr>
      <w:r>
        <w:t xml:space="preserve">2.0 Methodological Framework</w:t>
      </w:r>
    </w:p>
    <w:p>
      <w:pPr>
        <w:pStyle w:val="FirstParagraph"/>
      </w:pPr>
      <w:r>
        <w:t xml:space="preserve">To accurately assess market trends in Russia Moscow, our team adopted a hybrid analytical methodology combining quantitative data analysis with qualitative geopolitical risk assessment. This dual approach ensures that financial Analysts can interpret numerical data within its broader political context.</w:t>
      </w:r>
    </w:p>
    <w:p>
      <w:pPr>
        <w:numPr>
          <w:ilvl w:val="0"/>
          <w:numId w:val="1001"/>
        </w:numPr>
        <w:pStyle w:val="Compact"/>
      </w:pPr>
      <w:r>
        <w:rPr>
          <w:bCs/>
          <w:b/>
        </w:rPr>
        <w:t xml:space="preserve">Data Sources:</w:t>
      </w:r>
      <w:r>
        <w:t xml:space="preserve"> </w:t>
      </w:r>
      <w:r>
        <w:t xml:space="preserve">Primary sources included Russian Central Bank reports, local exchange filings from the Moscow Exchange (MOEX), and international IMF forecasts adjusted for regional sanctions.</w:t>
      </w:r>
    </w:p>
    <w:p>
      <w:pPr>
        <w:numPr>
          <w:ilvl w:val="0"/>
          <w:numId w:val="1001"/>
        </w:numPr>
        <w:pStyle w:val="Compact"/>
      </w:pPr>
      <w:r>
        <w:rPr>
          <w:bCs/>
          <w:b/>
        </w:rPr>
        <w:t xml:space="preserve">Analytical Tools:</w:t>
      </w:r>
      <w:r>
        <w:t xml:space="preserve">We utilized Time-Series Analysis for currency fluctuation predictions in Ruble trading pairs and Monte Carlo simulations to assess portfolio risk under varying sanction scenarios.</w:t>
      </w:r>
    </w:p>
    <w:p>
      <w:pPr>
        <w:numPr>
          <w:ilvl w:val="0"/>
          <w:numId w:val="1001"/>
        </w:numPr>
        <w:pStyle w:val="Compact"/>
      </w:pPr>
      <w:r>
        <w:rPr>
          <w:bCs/>
          <w:b/>
        </w:rPr>
        <w:t xml:space="preserve">Cross-Validation:</w:t>
      </w:r>
      <w:r>
        <w:t xml:space="preserve">All findings were cross-referenced with regional banking sector performance metrics to ensure data integrity within the Russia Moscow financial hub.</w:t>
      </w:r>
    </w:p>
    <w:p>
      <w:pPr>
        <w:pStyle w:val="FirstParagraph"/>
      </w:pPr>
      <w:r>
        <w:rPr>
          <w:bCs/>
          <w:b/>
        </w:rPr>
        <w:t xml:space="preserve">Note on Data Integrity:</w:t>
      </w:r>
      <w:r>
        <w:t xml:space="preserve"> </w:t>
      </w:r>
      <w:r>
        <w:t xml:space="preserve">In the volatile environment of Russia Moscow, real-time data verification is paramount. Our methodology prioritizes high-frequency trading data alongside quarterly corporate earnings reports to minimize lag-induced analysis errors.</w:t>
      </w:r>
    </w:p>
    <w:bookmarkEnd w:id="23"/>
    <w:bookmarkStart w:id="24" w:name="key-findings-the-russia-moscow-context"/>
    <w:p>
      <w:pPr>
        <w:pStyle w:val="Heading3"/>
      </w:pPr>
      <w:r>
        <w:t xml:space="preserve">3.0 Key Findings: The Russia Moscow Context</w:t>
      </w:r>
    </w:p>
    <w:p>
      <w:pPr>
        <w:pStyle w:val="FirstParagraph"/>
      </w:pPr>
      <w:r>
        <w:t xml:space="preserve">The analysis reveals distinct patterns in the financial behavior of entities operating within Russia Moscow. While overall market liquidity has contracted due to external pressures, internal capital reallocation strategies have shown resilience among key sectors.</w:t>
      </w:r>
    </w:p>
    <w:p>
      <w:pPr>
        <w:pStyle w:val="BodyText"/>
      </w:pPr>
      <w:r>
        <w:rPr>
          <w:bCs/>
          <w:b/>
        </w:rPr>
        <w:t xml:space="preserve">Sectoral Performance:</w:t>
      </w:r>
    </w:p>
    <w:p>
      <w:pPr>
        <w:numPr>
          <w:ilvl w:val="0"/>
          <w:numId w:val="1002"/>
        </w:numPr>
        <w:pStyle w:val="Compact"/>
      </w:pPr>
      <w:r>
        <w:rPr>
          <w:bCs/>
          <w:b/>
        </w:rPr>
        <w:t xml:space="preserve">Energetics:</w:t>
      </w:r>
      <w:r>
        <w:t xml:space="preserve"> </w:t>
      </w:r>
      <w:r>
        <w:t xml:space="preserve">Despite global price fluctuations, local distribution networks in Russia Moscow have maintained stable revenue streams due to government subsidies and regulated pricing models.</w:t>
      </w:r>
    </w:p>
    <w:p>
      <w:pPr>
        <w:numPr>
          <w:ilvl w:val="0"/>
          <w:numId w:val="1002"/>
        </w:numPr>
        <w:pStyle w:val="Compact"/>
      </w:pPr>
      <w:r>
        <w:rPr>
          <w:bCs/>
          <w:b/>
        </w:rPr>
        <w:t xml:space="preserve">Fintech Growth:</w:t>
      </w:r>
      <w:r>
        <w:t xml:space="preserve">A surge in domestic digital payment platforms has been observed within the capital. Local startups are filling gaps left by international fintech withdrawal, presenting a unique investment landscape for Analysts specializing in technology sectors.</w:t>
      </w:r>
    </w:p>
    <w:p>
      <w:pPr>
        <w:pStyle w:val="FirstParagraph"/>
      </w:pPr>
      <w:r>
        <w:t xml:space="preserve">The data indicates that standard Western valuation metrics (such as P/E ratios) often fail to capture the true value of assets in Russia Moscow due to distorted currency conversions and limited access to foreign capital markets.</w:t>
      </w:r>
    </w:p>
    <w:bookmarkEnd w:id="24"/>
    <w:bookmarkStart w:id="25" w:name="X29206eae71294191f04983291806e34b00b157b"/>
    <w:p>
      <w:pPr>
        <w:pStyle w:val="Heading3"/>
      </w:pPr>
      <w:r>
        <w:t xml:space="preserve">4.0 Analytical Challenges for Financial Analysts</w:t>
      </w:r>
    </w:p>
    <w:p>
      <w:pPr>
        <w:pStyle w:val="FirstParagraph"/>
      </w:pPr>
      <w:r>
        <w:t xml:space="preserve">The primary challenge facing the Financial Analyst today is the opacity of information regarding cross-border transactions involving Russia Moscow. Sanctions have complicated SWIFT connectivity, making traditional audit trails difficult to trace.</w:t>
      </w:r>
    </w:p>
    <w:p>
      <w:pPr>
        <w:numPr>
          <w:ilvl w:val="0"/>
          <w:numId w:val="1003"/>
        </w:numPr>
        <w:pStyle w:val="Compact"/>
      </w:pPr>
      <w:r>
        <w:rPr>
          <w:bCs/>
          <w:b/>
        </w:rPr>
        <w:t xml:space="preserve">Currency Fluctuation:</w:t>
      </w:r>
      <w:r>
        <w:t xml:space="preserve">The Ruble's volatility requires Analysts to employ dynamic hedging strategies rather than static currency assumptions.</w:t>
      </w:r>
    </w:p>
    <w:p>
      <w:pPr>
        <w:numPr>
          <w:ilvl w:val="0"/>
          <w:numId w:val="1003"/>
        </w:numPr>
        <w:pStyle w:val="Compact"/>
      </w:pPr>
      <w:r>
        <w:rPr>
          <w:bCs/>
          <w:b/>
        </w:rPr>
        <w:t xml:space="preserve">Sovereign Risk:</w:t>
      </w:r>
      <w:r>
        <w:t xml:space="preserve">Evaluating the sovereign risk premium of Russia Moscow assets has become increasingly complex, as political decisions directly override market forces in critical sectors.</w:t>
      </w:r>
    </w:p>
    <w:p>
      <w:pPr>
        <w:pStyle w:val="FirstParagraph"/>
      </w:pPr>
      <w:r>
        <w:rPr>
          <w:bCs/>
          <w:b/>
        </w:rPr>
        <w:t xml:space="preserve">Actionable Insight:</w:t>
      </w:r>
      <w:r>
        <w:t xml:space="preserve"> </w:t>
      </w:r>
      <w:r>
        <w:t xml:space="preserve">Analysts must pivot towards assessing real asset backing rather than reliance on credit ratings which may be downgraded or invalidated by international rating agencies due to geopolitical factors specific to Russia Moscow.</w:t>
      </w:r>
    </w:p>
    <w:bookmarkEnd w:id="25"/>
    <w:bookmarkStart w:id="26" w:name="X75849db393121ec0ab31348f58833269cfb58fe"/>
    <w:p>
      <w:pPr>
        <w:pStyle w:val="Heading3"/>
      </w:pPr>
      <w:r>
        <w:t xml:space="preserve">5.0 Strategic Implications for Industry Practitioners</w:t>
      </w:r>
    </w:p>
    <w:p>
      <w:pPr>
        <w:pStyle w:val="FirstParagraph"/>
      </w:pPr>
      <w:r>
        <w:t xml:space="preserve">The findings suggest that a "decoupled" analysis model is required for the Russia Moscow market. Analysts can no longer rely solely on global benchmarks provided by New York or London exchanges.</w:t>
      </w:r>
    </w:p>
    <w:p>
      <w:pPr>
        <w:pStyle w:val="BodyText"/>
      </w:pPr>
      <w:r>
        <w:rPr>
          <w:bCs/>
          <w:b/>
        </w:rPr>
        <w:t xml:space="preserve">Recommendations:</w:t>
      </w:r>
    </w:p>
    <w:p>
      <w:pPr>
        <w:numPr>
          <w:ilvl w:val="0"/>
          <w:numId w:val="1004"/>
        </w:numPr>
        <w:pStyle w:val="Compact"/>
      </w:pPr>
      <w:r>
        <w:rPr>
          <w:bCs/>
          <w:b/>
        </w:rPr>
        <w:t xml:space="preserve">Diversification of Data Inputs:</w:t>
      </w:r>
      <w:r>
        <w:t xml:space="preserve">Incorporate non-traditional data sources, such as regional shipping logs and localized energy consumption reports, to verify corporate health in Russia Moscow.</w:t>
      </w:r>
    </w:p>
    <w:p>
      <w:pPr>
        <w:numPr>
          <w:ilvl w:val="0"/>
          <w:numId w:val="1004"/>
        </w:numPr>
        <w:pStyle w:val="Compact"/>
      </w:pPr>
      <w:r>
        <w:rPr>
          <w:iCs/>
          <w:i/>
        </w:rPr>
        <w:t xml:space="preserve">Skill Development:</w:t>
      </w:r>
      <w:r>
        <w:t xml:space="preserve">Financial Analysts must enhance their understanding of alternative trade settlements (e.g., Yuan-based transactions) which are increasingly prevalent between local entities and international partners outside the Western sphere.</w:t>
      </w:r>
    </w:p>
    <w:p>
      <w:pPr>
        <w:numPr>
          <w:ilvl w:val="0"/>
          <w:numId w:val="1004"/>
        </w:numPr>
        <w:pStyle w:val="Compact"/>
      </w:pPr>
      <w:r>
        <w:rPr>
          <w:bCs/>
          <w:b/>
        </w:rPr>
        <w:t xml:space="preserve">Risk Tolerance Calibration:</w:t>
      </w:r>
      <w:r>
        <w:t xml:space="preserve">Firms operating in Russia Moscow must recalibrate their risk tolerance thresholds to account for sudden regulatory changes that may impact repatriation of profits.</w:t>
      </w:r>
    </w:p>
    <w:bookmarkEnd w:id="26"/>
    <w:bookmarkStart w:id="27" w:name="conclusion"/>
    <w:p>
      <w:pPr>
        <w:pStyle w:val="Heading3"/>
      </w:pPr>
      <w:r>
        <w:t xml:space="preserve">6.0 Conclusion</w:t>
      </w:r>
    </w:p>
    <w:p>
      <w:pPr>
        <w:pStyle w:val="FirstParagraph"/>
      </w:pPr>
      <w:r>
        <w:t xml:space="preserve">The role of the Financial Analyst in assessing the Russia Moscow market is more critical than ever. It requires a nuanced understanding of how geopolitical constraints reshape economic fundamentals.</w:t>
      </w:r>
    </w:p>
    <w:p>
      <w:pPr>
        <w:pStyle w:val="BodyText"/>
      </w:pPr>
      <w:r>
        <w:t xml:space="preserve">We conclude that while traditional models provide a baseline, they must be supplemented with localized intelligence and agile risk management strategies to accurately value opportunities within Russia Moscow. Future research should focus on the long-term impact of trade route shifts from Europe to Asia and how this alters the financial architecture of the Russian capital.</w:t>
      </w:r>
    </w:p>
    <w:p>
      <w:pPr>
        <w:pStyle w:val="BodyText"/>
      </w:pPr>
      <w:r>
        <w:t xml:space="preserve">The resilience shown by certain sectors in Russia Moscow offers a case study for other emerging markets facing similar isolationist pressures, making this analysis valuable for global academic and practical application.</w:t>
      </w:r>
    </w:p>
    <w:bookmarkEnd w:id="27"/>
    <w:p>
      <w:pPr>
        <w:pStyle w:val="BodyText"/>
      </w:pPr>
      <w:r>
        <w:rPr>
          <w:bCs/>
          <w:b/>
        </w:rPr>
        <w:t xml:space="preserve">Contact:</w:t>
      </w:r>
      <w:r>
        <w:t xml:space="preserve"> </w:t>
      </w:r>
      <w:r>
        <w:t xml:space="preserve">research.group@finance-analyst-academy.edu | Moscow Branch Office</w:t>
      </w:r>
    </w:p>
    <w:p>
      <w:pPr>
        <w:pStyle w:val="BodyText"/>
      </w:pPr>
      <w:r>
        <w:rPr>
          <w:iCs/>
          <w:i/>
        </w:rPr>
        <w:t xml:space="preserve">Keywords: Financial Analyst, Russia Moscow, Market Volatility, Sanctions Impact, Emerging Markets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Moscow Market Dynamics</dc:title>
  <dc:creator/>
  <dc:language>en</dc:language>
  <cp:keywords/>
  <dcterms:created xsi:type="dcterms:W3CDTF">2026-07-29T14:08:22Z</dcterms:created>
  <dcterms:modified xsi:type="dcterms:W3CDTF">2026-07-29T14:08:22Z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