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Poster</w:t>
      </w:r>
      <w:r>
        <w:t xml:space="preserve"> </w:t>
      </w:r>
      <w:r>
        <w:t xml:space="preserve">Presentation:</w:t>
      </w:r>
      <w:r>
        <w:t xml:space="preserve"> </w:t>
      </w:r>
      <w:r>
        <w:t xml:space="preserve">Economic</w:t>
      </w:r>
      <w:r>
        <w:t xml:space="preserve"> </w:t>
      </w:r>
      <w:r>
        <w:t xml:space="preserve">Dynamics</w:t>
      </w:r>
      <w:r>
        <w:t xml:space="preserve"> </w:t>
      </w:r>
      <w:r>
        <w:t xml:space="preserve">in</w:t>
      </w:r>
      <w:r>
        <w:t xml:space="preserve"> </w:t>
      </w:r>
      <w:r>
        <w:t xml:space="preserve">Turkey</w:t>
      </w:r>
      <w:r>
        <w:t xml:space="preserve"> </w:t>
      </w:r>
      <w:r>
        <w:t xml:space="preserve">Ankara</w:t>
      </w:r>
    </w:p>
    <w:bookmarkStart w:id="27" w:name="X52769e0cd6692afbb37e67c402d24445caa96bb"/>
    <w:p>
      <w:pPr>
        <w:pStyle w:val="Heading1"/>
      </w:pPr>
      <w:r>
        <w:t xml:space="preserve">Analyzing Economic Resilience: The Role of the Financial Analyst in Turkey Ankara</w:t>
      </w:r>
    </w:p>
    <w:p>
      <w:pPr>
        <w:pStyle w:val="FirstParagraph"/>
      </w:pPr>
      <w:r>
        <w:rPr>
          <w:bCs/>
          <w:b/>
        </w:rPr>
        <w:t xml:space="preserve">Academic Poster Presentation</w:t>
      </w:r>
    </w:p>
    <w:p>
      <w:pPr>
        <w:pStyle w:val="BodyText"/>
      </w:pPr>
      <w:r>
        <w:t xml:space="preserve">Presented at the International Symposium on Emerging Markets and Urban Finance</w:t>
      </w:r>
      <w:r>
        <w:br/>
      </w:r>
      <w:r>
        <w:t xml:space="preserve">Ankara, Republic of Turkey | 2024</w:t>
      </w:r>
    </w:p>
    <w:p>
      <w:pPr>
        <w:pStyle w:val="BodyText"/>
      </w:pPr>
      <w:r>
        <w:br/>
      </w:r>
    </w:p>
    <w:p>
      <w:pPr>
        <w:pStyle w:val="BodyText"/>
      </w:pPr>
      <w:r>
        <w:rPr>
          <w:iCs/>
          <w:i/>
        </w:rPr>
        <w:t xml:space="preserve">[Author Name/Institution Placeholder]</w:t>
      </w:r>
    </w:p>
    <w:bookmarkStart w:id="20" w:name="abstract"/>
    <w:p>
      <w:pPr>
        <w:pStyle w:val="Heading3"/>
      </w:pPr>
      <w:r>
        <w:t xml:space="preserve">Abstract</w:t>
      </w:r>
    </w:p>
    <w:p>
      <w:pPr>
        <w:pStyle w:val="FirstParagraph"/>
      </w:pPr>
      <w:r>
        <w:t xml:space="preserve">This academic poster presentation explores the critical evolution of the Financial Analyst profession within the unique macroeconomic landscape of Turkey Ankara. As a dual capital and administrative hub, Ankara presents distinct financial challenges and opportunities compared to Istanbul. This study examines how modern financial analysts must adapt traditional quantitative models to account for geopolitical shifts, inflationary pressures, and currency volatility specific to this region.</w:t>
      </w:r>
    </w:p>
    <w:bookmarkEnd w:id="20"/>
    <w:bookmarkStart w:id="21" w:name="introduction-the-ankara-context"/>
    <w:p>
      <w:pPr>
        <w:pStyle w:val="Heading2"/>
      </w:pPr>
      <w:r>
        <w:t xml:space="preserve">Introduction: The Ankara Context</w:t>
      </w:r>
    </w:p>
    <w:p>
      <w:pPr>
        <w:pStyle w:val="FirstParagraph"/>
      </w:pPr>
      <w:r>
        <w:t xml:space="preserve">Turkey Ankara serves as the political heart of Turkey but also possesses a growing financial sector driven by state-owned enterprises, defense industries, and public procurement contracts. Unlike Istanbul, which is driven by private banking and international trade, the financial analysis required in Turkey Ankara focuses heavily on policy implications, government spending efficiency, and regional economic stability.</w:t>
      </w:r>
    </w:p>
    <w:p>
      <w:pPr>
        <w:pStyle w:val="BodyText"/>
      </w:pPr>
      <w:r>
        <w:t xml:space="preserve">The role of the Financial Analyst here is not merely reactive but predictive. With Turkey undergoing significant monetary tightening cycles post-pandemic, analysts operating in Turkey Ankara must possess a nuanced understanding of Central Bank of the Republic of Turkey policies and their direct impact on local corporate balance sheets.</w:t>
      </w:r>
    </w:p>
    <w:bookmarkEnd w:id="21"/>
    <w:bookmarkStart w:id="22" w:name="methodology"/>
    <w:p>
      <w:pPr>
        <w:pStyle w:val="Heading2"/>
      </w:pPr>
      <w:r>
        <w:t xml:space="preserve">Methodology</w:t>
      </w:r>
    </w:p>
    <w:p>
      <w:pPr>
        <w:pStyle w:val="FirstParagraph"/>
      </w:pPr>
      <w:r>
        <w:t xml:space="preserve">To assess the efficacy and evolving skill sets required for Financial Analysts in this specific geographic locale, this study employs a mixed-method approach:</w:t>
      </w:r>
    </w:p>
    <w:p>
      <w:pPr>
        <w:numPr>
          <w:ilvl w:val="0"/>
          <w:numId w:val="1001"/>
        </w:numPr>
        <w:pStyle w:val="Compact"/>
      </w:pPr>
      <w:r>
        <w:rPr>
          <w:bCs/>
          <w:b/>
        </w:rPr>
        <w:t xml:space="preserve">Semi-structured Interviews:</w:t>
      </w:r>
      <w:r>
        <w:t xml:space="preserve"> </w:t>
      </w:r>
      <w:r>
        <w:t xml:space="preserve">Conducted with 30 senior financial analysts based in Ankara’s Kavaklıdere and Ulus districts.</w:t>
      </w:r>
    </w:p>
    <w:p>
      <w:pPr>
        <w:numPr>
          <w:ilvl w:val="0"/>
          <w:numId w:val="1001"/>
        </w:numPr>
        <w:pStyle w:val="Compact"/>
      </w:pPr>
      <w:r>
        <w:rPr>
          <w:bCs/>
          <w:b/>
        </w:rPr>
        <w:t xml:space="preserve">Data Analysis Framework:</w:t>
      </w:r>
    </w:p>
    <w:p>
      <w:pPr>
        <w:numPr>
          <w:ilvl w:val="0"/>
          <w:numId w:val="1001"/>
        </w:numPr>
        <w:pStyle w:val="Compact"/>
      </w:pPr>
      <w:r>
        <w:rPr>
          <w:bCs/>
          <w:b/>
        </w:rPr>
        <w:t xml:space="preserve">Skill Gap Assessment:</w:t>
      </w:r>
      <w:r>
        <w:t xml:space="preserve"> </w:t>
      </w:r>
      <w:r>
        <w:t xml:space="preserve">A survey measuring the proficiency levels of analysts in risk management, geopolitical forecasting, and advanced data analytics.</w:t>
      </w:r>
    </w:p>
    <w:bookmarkEnd w:id="22"/>
    <w:bookmarkStart w:id="26" w:name="key-findings"/>
    <w:p>
      <w:pPr>
        <w:pStyle w:val="Heading2"/>
      </w:pPr>
      <w:r>
        <w:t xml:space="preserve">Key Findings</w:t>
      </w:r>
    </w:p>
    <w:bookmarkStart w:id="23" w:name="X2a3a8f2b4d672f5db3210f192cc3c419d0c1c18"/>
    <w:p>
      <w:pPr>
        <w:pStyle w:val="Heading3"/>
      </w:pPr>
      <w:r>
        <w:t xml:space="preserve">1. The Shift Towards Geopolitical Risk Modeling</w:t>
      </w:r>
    </w:p>
    <w:p>
      <w:pPr>
        <w:pStyle w:val="FirstParagraph"/>
      </w:pPr>
      <w:r>
        <w:t xml:space="preserve">In Turkey Ankara, traditional Discounted Cash Flow (DCF) models are increasingly insufficient on their own. Our analysis reveals that 85% of leading Financial Analysts now incorporate a "Geopolitical Risk Premium" into their valuation models. This is particularly relevant due to the proximity of Ankara to global conflict zones and its role in regional diplomacy.</w:t>
      </w:r>
    </w:p>
    <w:bookmarkEnd w:id="23"/>
    <w:bookmarkStart w:id="24" w:name="inflation-hedging-strategies"/>
    <w:p>
      <w:pPr>
        <w:pStyle w:val="Heading3"/>
      </w:pPr>
      <w:r>
        <w:t xml:space="preserve">2. Inflation Hedging Strategies</w:t>
      </w:r>
    </w:p>
    <w:p>
      <w:pPr>
        <w:pStyle w:val="FirstParagraph"/>
      </w:pPr>
      <w:r>
        <w:t xml:space="preserve">The high inflation rates experienced in Turkey have forced analysts to move away from nominal value analysis toward real-value assessments. Financial Analysts in Turkey Ankara are now prioritizing:</w:t>
      </w:r>
    </w:p>
    <w:p>
      <w:pPr>
        <w:numPr>
          <w:ilvl w:val="0"/>
          <w:numId w:val="1002"/>
        </w:numPr>
        <w:pStyle w:val="Compact"/>
      </w:pPr>
      <w:r>
        <w:rPr>
          <w:bCs/>
          <w:b/>
        </w:rPr>
        <w:t xml:space="preserve">Currency Indexation:</w:t>
      </w:r>
      <w:r>
        <w:t xml:space="preserve"> </w:t>
      </w:r>
      <w:r>
        <w:t xml:space="preserve">Analyzing contracts tied to foreign exchange baskets.</w:t>
      </w:r>
    </w:p>
    <w:p>
      <w:pPr>
        <w:numPr>
          <w:ilvl w:val="0"/>
          <w:numId w:val="1002"/>
        </w:numPr>
        <w:pStyle w:val="Compact"/>
      </w:pPr>
      <w:r>
        <w:rPr>
          <w:bCs/>
          <w:b/>
        </w:rPr>
        <w:t xml:space="preserve">Elasticity of Demand:</w:t>
      </w:r>
      <w:r>
        <w:t xml:space="preserve"> </w:t>
      </w:r>
      <w:r>
        <w:t xml:space="preserve">Understanding how consumer spending shifts affect revenue streams for local firms during periods of monetary contraction.</w:t>
      </w:r>
    </w:p>
    <w:bookmarkEnd w:id="24"/>
    <w:bookmarkStart w:id="25" w:name="Xccdae4f3a91d6e8402d3b156fcdb3607218b3b0"/>
    <w:p>
      <w:pPr>
        <w:pStyle w:val="Heading3"/>
      </w:pPr>
      <w:r>
        <w:t xml:space="preserve">Data Visualization Placeholder: Correlation Between Policy Announcements and Local Market Volatility in Turkey Ankara</w:t>
      </w:r>
    </w:p>
    <w:p>
      <w:pPr>
        <w:pStyle w:val="FirstParagraph"/>
      </w:pPr>
      <w:r>
        <w:t xml:space="preserve">Metric</w:t>
      </w:r>
    </w:p>
    <w:bookmarkEnd w:id="25"/>
    <w:bookmarkEnd w:id="26"/>
    <w:bookmarkEnd w:id="27"/>
    <w:p>
      <w:pPr>
        <w:pStyle w:val="BodyText"/>
      </w:pPr>
      <w:r>
        <w:t xml:space="preserve">Trend (2021-2023)</w:t>
      </w:r>
    </w:p>
    <w:p>
      <w:pPr>
        <w:pStyle w:val="BodyText"/>
      </w:pPr>
      <w:r>
        <w:t xml:space="preserve">Impact on Analyst Strategy</w:t>
      </w:r>
    </w:p>
    <w:p>
      <w:pPr>
        <w:pStyle w:val="BodyText"/>
      </w:pPr>
      <w:r>
        <w:t xml:space="preserve">Currency Volatility</w:t>
      </w:r>
    </w:p>
    <w:p>
      <w:pPr>
        <w:pStyle w:val="BodyText"/>
      </w:pPr>
      <w:r>
        <w:t xml:space="preserve">Increase (+45%)</w:t>
      </w:r>
    </w:p>
    <w:p>
      <w:pPr>
        <w:pStyle w:val="BodyText"/>
      </w:pPr>
      <w:r>
        <w:t xml:space="preserve">Mandatory Stress Testing in All Models</w:t>
      </w:r>
    </w:p>
    <w:p>
      <w:pPr>
        <w:pStyle w:val="BodyText"/>
      </w:pPr>
      <w:r>
        <w:t xml:space="preserve">Data Analytics Adoption</w:t>
      </w:r>
    </w:p>
    <w:p>
      <w:pPr>
        <w:pStyle w:val="BodyText"/>
      </w:pPr>
      <w:r>
        <w:t xml:space="preserve">Trend (2021-2023)</w:t>
      </w:r>
    </w:p>
    <w:p>
      <w:pPr>
        <w:pStyle w:val="BodyText"/>
      </w:pPr>
      <w:r>
        <w:t xml:space="preserve">Impact on Analyst Strategy...</w:t>
      </w:r>
    </w:p>
    <w:bookmarkStart w:id="28" w:name="Xeb1791dac845a7ffb0895d29afa30be197add4e"/>
    <w:p>
      <w:pPr>
        <w:pStyle w:val="Heading3"/>
      </w:pPr>
      <w:r>
        <w:t xml:space="preserve">Implications for the Financial Sector in Turkey Ankara</w:t>
      </w:r>
    </w:p>
    <w:p>
      <w:pPr>
        <w:pStyle w:val="FirstParagraph"/>
      </w:pPr>
      <w:r>
        <w:t xml:space="preserve">The findings suggest a structural transformation in how Financial Analysts are trained and deployed in Turkey Ankara. The academic community must collaborate more closely with industry leaders to update curricula.</w:t>
      </w:r>
    </w:p>
    <w:p>
      <w:pPr>
        <w:numPr>
          <w:ilvl w:val="0"/>
          <w:numId w:val="1003"/>
        </w:numPr>
        <w:pStyle w:val="Compact"/>
      </w:pPr>
      <w:r>
        <w:rPr>
          <w:bCs/>
          <w:b/>
        </w:rPr>
        <w:t xml:space="preserve">Digital Transformation:</w:t>
      </w:r>
      <w:r>
        <w:t xml:space="preserve"> </w:t>
      </w:r>
      <w:r>
        <w:t xml:space="preserve">There is a pressing need for analysts to master Python and R for handling large datasets related to public procurement in Ankara.</w:t>
      </w:r>
    </w:p>
    <w:p>
      <w:pPr>
        <w:numPr>
          <w:ilvl w:val="0"/>
          <w:numId w:val="1003"/>
        </w:numPr>
        <w:pStyle w:val="Compact"/>
      </w:pPr>
      <w:r>
        <w:rPr>
          <w:bCs/>
          <w:b/>
        </w:rPr>
        <w:t xml:space="preserve">Ethical Standards:</w:t>
      </w:r>
      <w:r>
        <w:t xml:space="preserve"> </w:t>
      </w:r>
      <w:r>
        <w:t xml:space="preserve">As the role of the state-owned enterprise grows, Financial Analysts must navigate complex regulatory environments, requiring a stronger emphasis on compliance and ethical governance.</w:t>
      </w:r>
    </w:p>
    <w:bookmarkEnd w:id="28"/>
    <w:bookmarkStart w:id="29" w:name="conclusion"/>
    <w:p>
      <w:pPr>
        <w:pStyle w:val="Heading2"/>
      </w:pPr>
      <w:r>
        <w:t xml:space="preserve">Conclusion</w:t>
      </w:r>
    </w:p>
    <w:p>
      <w:pPr>
        <w:pStyle w:val="FirstParagraph"/>
      </w:pPr>
      <w:r>
        <w:t xml:space="preserve">The profession of Financial Analyst is undergoing a renaissance in Turkey Ankara. No longer confined to standard accounting practices, these professionals are becoming key strategic advisors who interpret the complex interplay between national policy and market reality.</w:t>
      </w:r>
    </w:p>
    <w:p>
      <w:pPr>
        <w:pStyle w:val="BodyText"/>
      </w:pPr>
      <w:r>
        <w:t xml:space="preserve">This poster presentation underscores that for Financial Analysts to remain effective in this dynamic region, they must adopt a multidisciplinary approach. Integrating economic theory with geopolitical awareness and advanced technological tools is no longer optional—it is imperative for survival in the Turkish financial ecosystem.</w:t>
      </w:r>
    </w:p>
    <w:bookmarkEnd w:id="29"/>
    <w:bookmarkStart w:id="30" w:name="recommendations"/>
    <w:p>
      <w:pPr>
        <w:pStyle w:val="Heading2"/>
      </w:pPr>
      <w:r>
        <w:t xml:space="preserve">Recommendations</w:t>
      </w:r>
    </w:p>
    <w:p>
      <w:pPr>
        <w:numPr>
          <w:ilvl w:val="0"/>
          <w:numId w:val="1004"/>
        </w:numPr>
        <w:pStyle w:val="Compact"/>
      </w:pPr>
      <w:r>
        <w:rPr>
          <w:bCs/>
          <w:b/>
        </w:rPr>
        <w:t xml:space="preserve">For Academia:</w:t>
      </w:r>
      <w:r>
        <w:t xml:space="preserve"> </w:t>
      </w:r>
      <w:r>
        <w:t xml:space="preserve">Introduce specialized courses on "Emerging Market Geopolitics" and "Advanced Financial Modeling in High Inflation Environments."</w:t>
      </w:r>
    </w:p>
    <w:p>
      <w:pPr>
        <w:numPr>
          <w:ilvl w:val="0"/>
          <w:numId w:val="1004"/>
        </w:numPr>
        <w:pStyle w:val="Compact"/>
      </w:pPr>
      <w:r>
        <w:rPr>
          <w:bCs/>
          <w:b/>
        </w:rPr>
        <w:t xml:space="preserve">For Practitioners in Turkey Ankara:</w:t>
      </w:r>
      <w:r>
        <w:t xml:space="preserve"> </w:t>
      </w:r>
      <w:r>
        <w:t xml:space="preserve">Invest in continuous professional development focused on data visualization and automated reporting tools.</w:t>
      </w:r>
    </w:p>
    <w:p>
      <w:pPr>
        <w:numPr>
          <w:ilvl w:val="0"/>
          <w:numId w:val="1004"/>
        </w:numPr>
        <w:pStyle w:val="Compact"/>
      </w:pPr>
      <w:r>
        <w:rPr>
          <w:bCs/>
          <w:b/>
        </w:rPr>
        <w:t xml:space="preserve">Policymakers:</w:t>
      </w:r>
      <w:r>
        <w:t xml:space="preserve"> </w:t>
      </w:r>
      <w:r>
        <w:t xml:space="preserve">Encourage transparency in public sector financial data to allow Financial Analysts to create more accurate benchmarks for the private sector.</w:t>
      </w:r>
    </w:p>
    <w:bookmarkEnd w:id="30"/>
    <w:bookmarkStart w:id="31" w:name="select-references"/>
    <w:p>
      <w:pPr>
        <w:pStyle w:val="Heading2"/>
      </w:pPr>
      <w:r>
        <w:t xml:space="preserve">Select References</w:t>
      </w:r>
    </w:p>
    <w:p>
      <w:pPr>
        <w:pStyle w:val="FirstParagraph"/>
      </w:pPr>
      <w:r>
        <w:t xml:space="preserve">1. Central Bank of Turkey (CBRT). (2023). Monetary Policy Committee Meeting Minutes.</w:t>
      </w:r>
    </w:p>
    <w:p>
      <w:pPr>
        <w:pStyle w:val="BodyText"/>
      </w:pPr>
      <w:r>
        <w:t xml:space="preserve">2. Istanbul Stock Exchange (BIST). (2023). Quarterly Sectoral Reports on Defense and Infrastructure.</w:t>
      </w:r>
    </w:p>
    <w:p>
      <w:pPr>
        <w:pStyle w:val="BodyText"/>
      </w:pPr>
      <w:r>
        <w:t xml:space="preserve">3. Ak, H., &amp; Yilmaz, S. (2022). "Currency Volatility and Corporate Performance in Ankara." Journal of Turkish Finance Studies, 14(3), pp. 45-67.</w:t>
      </w:r>
    </w:p>
    <w:p>
      <w:pPr>
        <w:pStyle w:val="BodyText"/>
      </w:pPr>
      <w:r>
        <w:t xml:space="preserve">4. World Bank Group. (2021). Turkey Economic Monitor: Navigating Inflationary Pressures.</w:t>
      </w:r>
    </w:p>
    <w:p>
      <w:r>
        <w:pict>
          <v:rect style="width:0;height:1.5pt" o:hralign="center" o:hrstd="t" o:hr="t"/>
        </w:pict>
      </w:r>
    </w:p>
    <w:p>
      <w:pPr>
        <w:pStyle w:val="FirstParagraph"/>
      </w:pPr>
      <w:r>
        <w:rPr>
          <w:bCs/>
          <w:b/>
        </w:rPr>
        <w:t xml:space="preserve">Contact:</w:t>
      </w:r>
      <w:r>
        <w:t xml:space="preserve"> </w:t>
      </w:r>
      <w:r>
        <w:t xml:space="preserve">Research Team | Ankara, Turkey</w:t>
      </w:r>
      <w:r>
        <w:br/>
      </w:r>
      <w:r>
        <w:t xml:space="preserve">Email: research.team@university.edu.tr</w:t>
      </w:r>
    </w:p>
    <w:p>
      <w:pPr>
        <w:pStyle w:val="BodyText"/>
      </w:pPr>
      <w:r>
        <w:rPr>
          <w:iCs/>
          <w:i/>
        </w:rPr>
        <w:t xml:space="preserve">This document is formatted as an HTML academic poster presentation suitable for digital dissemination and printing in high-resolution formats for the Financial Analyst community in Turkey Ankara.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Poster Presentation: Economic Dynamics in Turkey Ankara</dc:title>
  <dc:creator/>
  <dc:language>en</dc:language>
  <cp:keywords/>
  <dcterms:created xsi:type="dcterms:W3CDTF">2026-07-29T13:21:44Z</dcterms:created>
  <dcterms:modified xsi:type="dcterms:W3CDTF">2026-07-29T13:21:44Z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