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Japan</w:t>
      </w:r>
      <w:r>
        <w:t xml:space="preserve"> </w:t>
      </w:r>
      <w:r>
        <w:t xml:space="preserve">Osaka</w:t>
      </w:r>
    </w:p>
    <w:bookmarkStart w:id="20" w:name="Xe974cf00170f17daf69b9ca8c88f849f0e2f065"/>
    <w:p>
      <w:pPr>
        <w:pStyle w:val="Heading1"/>
      </w:pPr>
      <w:r>
        <w:rPr>
          <w:bCs/>
          <w:b/>
        </w:rPr>
        <w:t xml:space="preserve">Integrated Emergency Response Systems:</w:t>
      </w:r>
      <w:r>
        <w:br/>
      </w:r>
      <w:r>
        <w:rPr>
          <w:bCs/>
          <w:b/>
        </w:rPr>
        <w:t xml:space="preserve">An Academic Analysis of Firefighter Operations in Japan, Osaka</w:t>
      </w:r>
    </w:p>
    <w:p>
      <w:pPr>
        <w:pStyle w:val="FirstParagraph"/>
      </w:pPr>
      <w:r>
        <w:rPr>
          <w:iCs/>
          <w:i/>
        </w:rPr>
        <w:t xml:space="preserve">A comprehensive study on structural resilience, urban density challenges, and technological integration in metropolitan fire safety.</w:t>
      </w:r>
    </w:p>
    <w:p>
      <w:pPr>
        <w:pStyle w:val="BodyText"/>
      </w:pPr>
      <w:r>
        <w:t xml:space="preserve">Primary Author:</w:t>
      </w:r>
      <w:r>
        <w:t xml:space="preserve"> </w:t>
      </w:r>
      <w:r>
        <w:t xml:space="preserve">Dr. A. Tanaka  | </w:t>
      </w:r>
      <w:r>
        <w:t xml:space="preserve"> </w:t>
      </w:r>
      <w:r>
        <w:rPr>
          <w:bCs/>
          <w:b/>
        </w:rPr>
        <w:t xml:space="preserve">Affiliation:</w:t>
      </w:r>
      <w:r>
        <w:t xml:space="preserve"> </w:t>
      </w:r>
      <w:r>
        <w:t xml:space="preserve">Osaka University Department of Urban Safety Engineering</w:t>
      </w:r>
      <w:r>
        <w:br/>
      </w:r>
      <w:r>
        <w:br/>
      </w:r>
      <w:r>
        <w:rPr>
          <w:bCs/>
          <w:b/>
        </w:rPr>
        <w:t xml:space="preserve">Contact:</w:t>
      </w:r>
      <w:r>
        <w:t xml:space="preserve"> </w:t>
      </w:r>
      <w:r>
        <w:t xml:space="preserve">a.tanaka@osaka-u.ac.jp |  </w:t>
      </w:r>
    </w:p>
    <w:p>
      <w:pPr>
        <w:pStyle w:val="BodyText"/>
      </w:pP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Osaka, the second-largest metropolitan area in Japan, presents a unique set of challenges for emergency responders due to its high population density, mixed-use zoning, and aging infrastructure. This academic poster presentation explores the multifaceted role of the</w:t>
      </w:r>
      <w:r>
        <w:t xml:space="preserve"> </w:t>
      </w:r>
      <w:r>
        <w:rPr>
          <w:bCs/>
          <w:b/>
        </w:rPr>
        <w:t xml:space="preserve">Firefighter</w:t>
      </w:r>
      <w:r>
        <w:t xml:space="preserve"> </w:t>
      </w:r>
      <w:r>
        <w:t xml:space="preserve">in this dynamic environment. We analyze data from fire incidents between 2015 and 2023 to evaluate response times, resource allocation, and inter-agency cooperation within</w:t>
      </w:r>
      <w:r>
        <w:t xml:space="preserve"> </w:t>
      </w:r>
      <w:r>
        <w:rPr>
          <w:bCs/>
          <w:b/>
        </w:rPr>
        <w:t xml:space="preserve">Japan Osaka</w:t>
      </w:r>
      <w:r>
        <w:t xml:space="preserve">. The study highlights how traditional Japanese firefighting methodologies have evolved to incorporate advanced digital mapping, AI-driven risk assessment tools, and community-based disaster preparedness programs. Furthermore, we discuss the cultural significance of trust between local communities and fire services in</w:t>
      </w:r>
      <w:r>
        <w:t xml:space="preserve"> </w:t>
      </w:r>
      <w:r>
        <w:rPr>
          <w:bCs/>
          <w:b/>
        </w:rPr>
        <w:t xml:space="preserve">Japan Osaka</w:t>
      </w:r>
      <w:r>
        <w:t xml:space="preserve">, arguing that social capital is as vital as technical equipment in mitigating urban disaster risks.</w:t>
      </w:r>
    </w:p>
    <w:bookmarkEnd w:id="21"/>
    <w:bookmarkStart w:id="22" w:name="introduction-and-urban-context"/>
    <w:p>
      <w:pPr>
        <w:pStyle w:val="Heading2"/>
      </w:pPr>
      <w:r>
        <w:t xml:space="preserve">Introduction and Urban Context</w:t>
      </w:r>
    </w:p>
    <w:p>
      <w:pPr>
        <w:pStyle w:val="FirstParagraph"/>
      </w:pPr>
      <w:r>
        <w:t xml:space="preserve">Osaka serves as a critical economic hub in the Kansai region, yet its urban fabric is characterized by narrow streets and tightly packed wooden structures (wooden frame buildings) that pose significant fire hazards. For the modern</w:t>
      </w:r>
      <w:r>
        <w:t xml:space="preserve"> </w:t>
      </w:r>
      <w:r>
        <w:rPr>
          <w:bCs/>
          <w:b/>
        </w:rPr>
        <w:t xml:space="preserve">Firefighter</w:t>
      </w:r>
      <w:r>
        <w:t xml:space="preserve">, operating in this specific geographic context requires more than just brute strength or standard water cannons; it demands strategic precision and intimate knowledge of the local terrain. The concept of "Osaka-style" community engagement, often referred to as</w:t>
      </w:r>
      <w:r>
        <w:t xml:space="preserve"> </w:t>
      </w:r>
      <w:r>
        <w:rPr>
          <w:iCs/>
          <w:i/>
        </w:rPr>
        <w:t xml:space="preserve">Machi-zukuri</w:t>
      </w:r>
      <w:r>
        <w:t xml:space="preserve">, plays a pivotal role in how fire safety is implemented at the grassroots level.</w:t>
      </w:r>
    </w:p>
    <w:p>
      <w:pPr>
        <w:pStyle w:val="BodyText"/>
      </w:pPr>
      <w:r>
        <w:t xml:space="preserve">In recent years, the frequency of complex emergencies in</w:t>
      </w:r>
      <w:r>
        <w:t xml:space="preserve"> </w:t>
      </w:r>
      <w:r>
        <w:rPr>
          <w:bCs/>
          <w:b/>
        </w:rPr>
        <w:t xml:space="preserve">Japan Osaka</w:t>
      </w:r>
      <w:r>
        <w:t xml:space="preserve"> </w:t>
      </w:r>
      <w:r>
        <w:t xml:space="preserve">has shifted from simple structural fires to multi-hazard scenarios, including earthquakes followed by secondary fires, chemical spills in industrial zones like Konohana Ward, and high-rise building incidents. This presentation aims to document how the Osaka Municipal Fire Department has adapted its protocols to address these evolving threats, ensuring that every</w:t>
      </w:r>
      <w:r>
        <w:t xml:space="preserve"> </w:t>
      </w:r>
      <w:r>
        <w:rPr>
          <w:bCs/>
          <w:b/>
        </w:rPr>
        <w:t xml:space="preserve">Firefighter</w:t>
      </w:r>
      <w:r>
        <w:t xml:space="preserve"> </w:t>
      </w:r>
      <w:r>
        <w:t xml:space="preserve">on duty is equipped with both physical training and intellectual resources.</w:t>
      </w:r>
    </w:p>
    <w:bookmarkEnd w:id="22"/>
    <w:bookmarkStart w:id="23" w:name="methodology"/>
    <w:p>
      <w:pPr>
        <w:pStyle w:val="Heading2"/>
      </w:pPr>
      <w:r>
        <w:t xml:space="preserve">Methodology</w:t>
      </w:r>
    </w:p>
    <w:p>
      <w:pPr>
        <w:pStyle w:val="FirstParagraph"/>
      </w:pPr>
      <w:r>
        <w:t xml:space="preserve">To understand the efficacy of current protocols, we employed a mixed-methods approach combining quantitative data analysis with qualitative field observations.</w:t>
      </w:r>
    </w:p>
    <w:p>
      <w:pPr>
        <w:numPr>
          <w:ilvl w:val="0"/>
          <w:numId w:val="1001"/>
        </w:numPr>
        <w:pStyle w:val="Compact"/>
      </w:pPr>
      <w:r>
        <w:rPr>
          <w:bCs/>
          <w:b/>
        </w:rPr>
        <w:t xml:space="preserve">Data Collection:</w:t>
      </w:r>
      <w:r>
        <w:t xml:space="preserve"> </w:t>
      </w:r>
      <w:r>
        <w:t xml:space="preserve">We analyzed anonymized incident reports from the Osaka Fire Department covering a period of eight years. Key metrics included response latency, turnout time, and casualty rates.</w:t>
      </w:r>
    </w:p>
    <w:p>
      <w:pPr>
        <w:numPr>
          <w:ilvl w:val="0"/>
          <w:numId w:val="1001"/>
        </w:numPr>
        <w:pStyle w:val="Compact"/>
      </w:pPr>
      <w:r>
        <w:rPr>
          <w:bCs/>
          <w:b/>
        </w:rPr>
        <w:t xml:space="preserve">Spatial Analysis:</w:t>
      </w:r>
      <w:r>
        <w:t xml:space="preserve"> </w:t>
      </w:r>
      <w:r>
        <w:t xml:space="preserve">GIS mapping was used to overlay fire incident hotspots with infrastructure data such as road width, water hydrant availability, and building height in</w:t>
      </w:r>
      <w:r>
        <w:t xml:space="preserve"> </w:t>
      </w:r>
      <w:r>
        <w:rPr>
          <w:bCs/>
          <w:b/>
        </w:rPr>
        <w:t xml:space="preserve">Japan Osaka</w:t>
      </w:r>
      <w:r>
        <w:t xml:space="preserve">.</w:t>
      </w:r>
    </w:p>
    <w:p>
      <w:pPr>
        <w:numPr>
          <w:ilvl w:val="0"/>
          <w:numId w:val="1001"/>
        </w:numPr>
        <w:pStyle w:val="Compact"/>
      </w:pPr>
      <w:r>
        <w:t xml:space="preserve">Surveys:</w:t>
      </w:r>
    </w:p>
    <w:bookmarkEnd w:id="23"/>
    <w:bookmarkStart w:id="27" w:name="key-findings"/>
    <w:p>
      <w:pPr>
        <w:pStyle w:val="Heading2"/>
      </w:pPr>
      <w:r>
        <w:t xml:space="preserve">Key Findings</w:t>
      </w:r>
    </w:p>
    <w:bookmarkStart w:id="24" w:name="response-time-variability"/>
    <w:p>
      <w:pPr>
        <w:pStyle w:val="Heading3"/>
      </w:pPr>
      <w:r>
        <w:t xml:space="preserve">1. Response Time Variability</w:t>
      </w:r>
    </w:p>
    <w:p>
      <w:pPr>
        <w:pStyle w:val="FirstParagraph"/>
      </w:pPr>
      <w:r>
        <w:t xml:space="preserve">Data indicates that while average response times in Osaka have decreased by 12% over the last decade, variability remains high in older districts (e.g., Tennoji and Naniwa). Narrow alleyways frequently hinder large fire engines, requiring smaller "mini-firefighters" units to lead initial suppression efforts. This finding underscores the need for specialized vehicle procurement tailored to</w:t>
      </w:r>
      <w:r>
        <w:t xml:space="preserve"> </w:t>
      </w:r>
      <w:r>
        <w:rPr>
          <w:bCs/>
          <w:b/>
        </w:rPr>
        <w:t xml:space="preserve">Japan Osaka</w:t>
      </w:r>
      <w:r>
        <w:t xml:space="preserve">'s unique street layouts.</w:t>
      </w:r>
    </w:p>
    <w:bookmarkEnd w:id="24"/>
    <w:bookmarkStart w:id="25" w:name="technological-integration"/>
    <w:p>
      <w:pPr>
        <w:pStyle w:val="Heading3"/>
      </w:pPr>
      <w:r>
        <w:t xml:space="preserve">2. Technological Integration</w:t>
      </w:r>
    </w:p>
    <w:p>
      <w:pPr>
        <w:pStyle w:val="FirstParagraph"/>
      </w:pPr>
      <w:r>
        <w:t xml:space="preserve">The introduction of drone surveillance and thermal imaging cameras has significantly enhanced situational awareness for Firefighters. Our study found a correlation between the deployment of these technologies in high-rise building fires and a reduction in internal search-and-rescue times by approximately 15%. The digital twin project currently underway in Osaka allows firefighters to simulate fire spread scenarios virtually, improving pre-incident planning.</w:t>
      </w:r>
    </w:p>
    <w:bookmarkEnd w:id="25"/>
    <w:bookmarkStart w:id="26" w:name="human-factors-and-fatigue"/>
    <w:p>
      <w:pPr>
        <w:pStyle w:val="Heading3"/>
      </w:pPr>
      <w:r>
        <w:t xml:space="preserve">3. Human Factors and Fatigue</w:t>
      </w:r>
    </w:p>
    <w:p>
      <w:pPr>
        <w:pStyle w:val="FirstParagraph"/>
      </w:pPr>
      <w:r>
        <w:t xml:space="preserve">A significant portion of the qualitative data revealed concerns regarding firefighter fatigue. The high volume of false alarms (often due to cooking fires in small apartments) contributes to "response fatigue." Recommendations include better public education campaigns specifically targeting household safety in dense residential areas.</w:t>
      </w:r>
    </w:p>
    <w:bookmarkEnd w:id="26"/>
    <w:bookmarkEnd w:id="27"/>
    <w:bookmarkStart w:id="28" w:name="discussion"/>
    <w:p>
      <w:pPr>
        <w:pStyle w:val="Heading2"/>
      </w:pPr>
      <w:r>
        <w:t xml:space="preserve">Discussion</w:t>
      </w:r>
    </w:p>
    <w:p>
      <w:pPr>
        <w:pStyle w:val="FirstParagraph"/>
      </w:pPr>
      <w:r>
        <w:t xml:space="preserve">The role of the Firefighter in Osaka is expanding beyond suppression. As urbanization continues to densify, the</w:t>
      </w:r>
      <w:r>
        <w:t xml:space="preserve"> </w:t>
      </w:r>
      <w:r>
        <w:rPr>
          <w:bCs/>
          <w:b/>
        </w:rPr>
        <w:t xml:space="preserve">Firefighter</w:t>
      </w:r>
      <w:r>
        <w:t xml:space="preserve"> </w:t>
      </w:r>
      <w:r>
        <w:t xml:space="preserve">becomes a central node in community resilience. The findings suggest that technological advancements alone cannot solve systemic issues; they must be paired with robust human-centric policies.</w:t>
      </w:r>
    </w:p>
    <w:p>
      <w:pPr>
        <w:pStyle w:val="BodyText"/>
      </w:pPr>
      <w:r>
        <w:t xml:space="preserve">In the context of</w:t>
      </w:r>
      <w:r>
        <w:t xml:space="preserve"> </w:t>
      </w:r>
      <w:r>
        <w:rPr>
          <w:bCs/>
          <w:b/>
        </w:rPr>
        <w:t xml:space="preserve">Japan Osaka</w:t>
      </w:r>
      <w:r>
        <w:t xml:space="preserve">, the integration of local volunteers (Volunteer Fire Associations) with professional departments creates a hybrid model of safety. This synergy was particularly evident during recent typhoon seasons, where joint operations minimized damage. However, there is a pressing need for standardized training curricula that bridge the gap between volunteer capabilities and professional expectations.</w:t>
      </w:r>
    </w:p>
    <w:p>
      <w:pPr>
        <w:pStyle w:val="BodyText"/>
      </w:pPr>
      <w:r>
        <w:t xml:space="preserve">Furthermore, the cultural aspect of "Omotenashi" (hospitality/service) extends to emergency services. Firefighters in Osaka are expected to maintain high levels of public interaction and education, which adds a layer of complexity to their workload but also strengthens community trust—a critical asset during disasters.</w:t>
      </w:r>
    </w:p>
    <w:bookmarkEnd w:id="28"/>
    <w:bookmarkStart w:id="29" w:name="conclusion-and-recommendations"/>
    <w:p>
      <w:pPr>
        <w:pStyle w:val="Heading2"/>
      </w:pPr>
      <w:r>
        <w:t xml:space="preserve">Conclusion and Recommendations</w:t>
      </w:r>
    </w:p>
    <w:p>
      <w:pPr>
        <w:pStyle w:val="FirstParagraph"/>
      </w:pPr>
      <w:r>
        <w:t xml:space="preserve">This academic presentation concludes that the effectiveness of Firefighter operations in Osaka is contingent upon a tripartite framework: Technological Innovation, Infrastructure Adaptation, and Community Engagement. To enhance safety for residents in</w:t>
      </w:r>
      <w:r>
        <w:t xml:space="preserve"> </w:t>
      </w:r>
      <w:r>
        <w:rPr>
          <w:bCs/>
          <w:b/>
        </w:rPr>
        <w:t xml:space="preserve">Japan Osaka</w:t>
      </w:r>
      <w:r>
        <w:t xml:space="preserve">, we propose the following:</w:t>
      </w:r>
    </w:p>
    <w:p>
      <w:pPr>
        <w:numPr>
          <w:ilvl w:val="0"/>
          <w:numId w:val="1002"/>
        </w:numPr>
        <w:pStyle w:val="Compact"/>
      </w:pPr>
      <w:r>
        <w:rPr>
          <w:bCs/>
          <w:b/>
        </w:rPr>
        <w:t xml:space="preserve">Dedicated Mini-Unit Expansion:</w:t>
      </w:r>
      <w:r>
        <w:t xml:space="preserve"> </w:t>
      </w:r>
      <w:r>
        <w:t xml:space="preserve">Increase the number of small-scale, maneuverable fire units specifically assigned to historic districts with narrow access roads.</w:t>
      </w:r>
    </w:p>
    <w:p>
      <w:pPr>
        <w:numPr>
          <w:ilvl w:val="0"/>
          <w:numId w:val="1002"/>
        </w:numPr>
        <w:pStyle w:val="Compact"/>
      </w:pPr>
      <w:r>
        <w:rPr>
          <w:bCs/>
          <w:b/>
        </w:rPr>
        <w:t xml:space="preserve">AI-Powered Dispatch Systems:</w:t>
      </w:r>
      <w:r>
        <w:t xml:space="preserve"> </w:t>
      </w:r>
      <w:r>
        <w:t xml:space="preserve">Implement machine learning algorithms that predict fire spread based on real-time weather and building data, optimizing resource deployment before arrival.</w:t>
      </w:r>
    </w:p>
    <w:p>
      <w:pPr>
        <w:numPr>
          <w:ilvl w:val="0"/>
          <w:numId w:val="1002"/>
        </w:numPr>
        <w:pStyle w:val="Compact"/>
      </w:pPr>
      <w:r>
        <w:rPr>
          <w:bCs/>
          <w:b/>
        </w:rPr>
        <w:t xml:space="preserve">Mental Health Support:</w:t>
      </w:r>
      <w:r>
        <w:t xml:space="preserve"> </w:t>
      </w:r>
      <w:r>
        <w:t xml:space="preserve">Establish mandatory psychological support programs for firefighters to combat burnout and PTSD, ensuring long-term career sustainability.</w:t>
      </w:r>
    </w:p>
    <w:p>
      <w:pPr>
        <w:numPr>
          <w:ilvl w:val="0"/>
          <w:numId w:val="1002"/>
        </w:numPr>
        <w:pStyle w:val="Compact"/>
      </w:pPr>
      <w:r>
        <w:rPr>
          <w:bCs/>
          <w:b/>
        </w:rPr>
        <w:t xml:space="preserve">Retrofitting Initiatives:</w:t>
      </w:r>
      <w:r>
        <w:t xml:space="preserve"> </w:t>
      </w:r>
      <w:r>
        <w:t xml:space="preserve">Accelerate the upgrade of water pressure systems in older wards to support high-rise firefighting operations effectively.</w:t>
      </w:r>
    </w:p>
    <w:bookmarkEnd w:id="29"/>
    <w:bookmarkStart w:id="30" w:name="references"/>
    <w:p>
      <w:pPr>
        <w:pStyle w:val="Heading3"/>
      </w:pPr>
      <w:r>
        <w:t xml:space="preserve">References</w:t>
      </w:r>
    </w:p>
    <w:p>
      <w:pPr>
        <w:numPr>
          <w:ilvl w:val="0"/>
          <w:numId w:val="1003"/>
        </w:numPr>
        <w:pStyle w:val="Compact"/>
      </w:pPr>
      <w:r>
        <w:t xml:space="preserve">Otaka, M., &amp; Yamamoto, K. (2021). *Urban Density and Fire Safety in Japanese Metropolises*. Journal of Urban Planning Review, 45(3), 112-128.</w:t>
      </w:r>
    </w:p>
    <w:p>
      <w:pPr>
        <w:numPr>
          <w:ilvl w:val="0"/>
          <w:numId w:val="1003"/>
        </w:numPr>
        <w:pStyle w:val="Compact"/>
      </w:pPr>
      <w:r>
        <w:t xml:space="preserve">Osaka Municipal Government. (2023). *Annual Report on Disaster Prevention and Fire Safety*. Osaka: City Planning Division.</w:t>
      </w:r>
    </w:p>
    <w:p>
      <w:pPr>
        <w:numPr>
          <w:ilvl w:val="0"/>
          <w:numId w:val="1003"/>
        </w:numPr>
        <w:pStyle w:val="Compact"/>
      </w:pPr>
      <w:r>
        <w:t xml:space="preserve">Sato, H. (2019). "The Evolution of Volunteer Fire Associations in Kansai." *Asian Journal of Emergency Services*, 12(1), 45-60.</w:t>
      </w:r>
    </w:p>
    <w:p>
      <w:pPr>
        <w:numPr>
          <w:ilvl w:val="0"/>
          <w:numId w:val="1003"/>
        </w:numPr>
        <w:pStyle w:val="Compact"/>
      </w:pPr>
      <w:r>
        <w:t xml:space="preserve">Tanaka, A. (2022). *Digital Twins for Disaster Mitigation: Case Studies from Osaka*. Proceedings of the International Conference on Smart Cities, Tokyo.</w:t>
      </w:r>
    </w:p>
    <w:p>
      <w:pPr>
        <w:numPr>
          <w:ilvl w:val="0"/>
          <w:numId w:val="1003"/>
        </w:numPr>
        <w:pStyle w:val="Compact"/>
      </w:pPr>
      <w:r>
        <w:t xml:space="preserve">National Police Agency Japan. (2023). *White Paper on Public Safety and Fire Management*. Tokyo: Government Printing Office.</w:t>
      </w:r>
    </w:p>
    <w:bookmarkEnd w:id="30"/>
    <w:p>
      <w:pPr>
        <w:pStyle w:val="FirstParagraph"/>
      </w:pPr>
      <w:r>
        <w:t xml:space="preserve">©2023 Osaka University Department of Urban Safety Engineering | For Academic Use Only</w:t>
      </w:r>
      <w:r>
        <w:br/>
      </w:r>
      <w:r>
        <w:t xml:space="preserve">Presented at the International Symposium on Urban Resilience, Osaka,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Japan Osaka</dc:title>
  <dc:creator/>
  <dc:language>en</dc:language>
  <cp:keywords/>
  <dcterms:created xsi:type="dcterms:W3CDTF">2026-07-29T12:42:03Z</dcterms:created>
  <dcterms:modified xsi:type="dcterms:W3CDTF">2026-07-29T12:42:03Z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