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Operations</w:t>
      </w:r>
      <w:r>
        <w:t xml:space="preserve"> </w:t>
      </w:r>
      <w:r>
        <w:t xml:space="preserve">in</w:t>
      </w:r>
      <w:r>
        <w:t xml:space="preserve"> </w:t>
      </w:r>
      <w:r>
        <w:t xml:space="preserve">Uzbekistan</w:t>
      </w:r>
      <w:r>
        <w:t xml:space="preserve"> </w:t>
      </w:r>
      <w:r>
        <w:t xml:space="preserve">Tashkent</w:t>
      </w:r>
    </w:p>
    <w:bookmarkStart w:id="21" w:name="X196d742be1bc0ea1b4372add81f9e8ed0873aa2"/>
    <w:p>
      <w:pPr>
        <w:pStyle w:val="Heading1"/>
      </w:pPr>
      <w:r>
        <w:t xml:space="preserve">Civil Defense and Urban Resilience: The Role of the Modern Firefighter in Uzbekistan Tashkent</w:t>
      </w:r>
    </w:p>
    <w:bookmarkStart w:id="20" w:name="X67ed34eee7c45e9887d935d7ac8a94efe5298c3"/>
    <w:p>
      <w:pPr>
        <w:pStyle w:val="Heading2"/>
      </w:pPr>
      <w:r>
        <w:t xml:space="preserve">A Strategic Analysis of Emergency Response Protocols in a Rapidly Urbanizing Capital</w:t>
      </w:r>
    </w:p>
    <w:bookmarkEnd w:id="20"/>
    <w:bookmarkEnd w:id="21"/>
    <w:p>
      <w:pPr>
        <w:pStyle w:val="FirstParagraph"/>
      </w:pPr>
      <w:r>
        <w:t xml:space="preserve">Prepared for: Academic Symposium on Civil Safety</w:t>
      </w:r>
      <w:r>
        <w:t xml:space="preserve"> </w:t>
      </w:r>
      <w:r>
        <w:t xml:space="preserve">Regional Emergency Management Institute</w:t>
      </w:r>
    </w:p>
    <w:bookmarkStart w:id="22" w:name="abstract-and-contextual-background"/>
    <w:p>
      <w:pPr>
        <w:pStyle w:val="Heading3"/>
      </w:pPr>
      <w:r>
        <w:t xml:space="preserve">1. Abstract and Contextual Background</w:t>
      </w:r>
    </w:p>
    <w:p>
      <w:pPr>
        <w:pStyle w:val="FirstParagraph"/>
      </w:pPr>
      <w:r>
        <w:t xml:space="preserve">The urban landscape of Uzbekistan is undergoing a transformative shift, with Tashkent emerging as the economic and cultural heart of Central Asia. As the capital experiences rapid population growth, architectural modernization, and increased industrial activity, the imperative for robust civil defense mechanisms becomes paramount. This poster presentation outlines the critical role of the</w:t>
      </w:r>
      <w:r>
        <w:t xml:space="preserve"> </w:t>
      </w:r>
      <w:r>
        <w:rPr>
          <w:bCs/>
          <w:b/>
        </w:rPr>
        <w:t xml:space="preserve">Firefighter</w:t>
      </w:r>
      <w:r>
        <w:t xml:space="preserve"> </w:t>
      </w:r>
      <w:r>
        <w:t xml:space="preserve">in maintaining public safety within this dynamic environment. We argue that traditional firefighting methodologies must evolve to meet the specific challenges posed by high-density living in</w:t>
      </w:r>
      <w:r>
        <w:t xml:space="preserve"> </w:t>
      </w:r>
      <w:r>
        <w:rPr>
          <w:bCs/>
          <w:b/>
        </w:rPr>
        <w:t xml:space="preserve">Tashkent</w:t>
      </w:r>
      <w:r>
        <w:t xml:space="preserve">, particularly regarding heritage site protection, high-rise building management, and industrial hazard mitigation. The objective of this study is to evaluate current operational capacities and propose data-driven enhancements for emergency response teams.</w:t>
      </w:r>
    </w:p>
    <w:bookmarkEnd w:id="22"/>
    <w:bookmarkStart w:id="23" w:name="urban-challenges-specific-to-tashkent"/>
    <w:p>
      <w:pPr>
        <w:pStyle w:val="Heading3"/>
      </w:pPr>
      <w:r>
        <w:t xml:space="preserve">2. Urban Challenges Specific to Tashkent</w:t>
      </w:r>
    </w:p>
    <w:p>
      <w:pPr>
        <w:pStyle w:val="FirstParagraph"/>
      </w:pPr>
      <w:r>
        <w:rPr>
          <w:bCs/>
          <w:b/>
        </w:rPr>
        <w:t xml:space="preserve">The Core Challenge:</w:t>
      </w:r>
      <w:r>
        <w:t xml:space="preserve"> </w:t>
      </w:r>
      <w:r>
        <w:t xml:space="preserve">Balancing rapid modernization with historical preservation while ensuring life-safety compliance.</w:t>
      </w:r>
    </w:p>
    <w:p>
      <w:pPr>
        <w:pStyle w:val="BodyText"/>
      </w:pPr>
      <w:r>
        <w:br/>
      </w:r>
    </w:p>
    <w:bookmarkEnd w:id="23"/>
    <w:bookmarkStart w:id="24" w:name="architectural-density-and-heritage"/>
    <w:p>
      <w:pPr>
        <w:pStyle w:val="Heading3"/>
      </w:pPr>
      <w:r>
        <w:t xml:space="preserve">2.1 Architectural Density and Heritage</w:t>
      </w:r>
    </w:p>
    <w:p>
      <w:pPr>
        <w:pStyle w:val="FirstParagraph"/>
      </w:pPr>
      <w:r>
        <w:t xml:space="preserve">Tashkent presents a unique duality: ancient mud-brick structures coexist with modern concrete high-rises. Older districts pose significant risks due to narrow alleyways that restrict access for large fire apparatus and the flammability of traditional building materials. For the</w:t>
      </w:r>
      <w:r>
        <w:t xml:space="preserve"> </w:t>
      </w:r>
      <w:r>
        <w:rPr>
          <w:bCs/>
          <w:b/>
        </w:rPr>
        <w:t xml:space="preserve">Firefighter</w:t>
      </w:r>
      <w:r>
        <w:t xml:space="preserve">, navigating these confined spaces requires specialized tactics distinct from open-field operations common in newer suburbs.</w:t>
      </w:r>
    </w:p>
    <w:bookmarkEnd w:id="24"/>
    <w:bookmarkStart w:id="25" w:name="industrial-zones"/>
    <w:p>
      <w:pPr>
        <w:pStyle w:val="Heading3"/>
      </w:pPr>
      <w:r>
        <w:t xml:space="preserve">2.2 Industrial Zones</w:t>
      </w:r>
    </w:p>
    <w:p>
      <w:pPr>
        <w:pStyle w:val="FirstParagraph"/>
      </w:pPr>
      <w:r>
        <w:t xml:space="preserve">The expansion of manufacturing hubs on the outskirts of Tashkent introduces chemical and industrial fire risks. Standard water-based suppression may be insufficient or hazardous in these contexts, necessitating specialized training for personnel dealing with volatile substances.</w:t>
      </w:r>
    </w:p>
    <w:bookmarkEnd w:id="25"/>
    <w:bookmarkStart w:id="26" w:name="population-density"/>
    <w:p>
      <w:pPr>
        <w:pStyle w:val="Heading3"/>
      </w:pPr>
      <w:r>
        <w:t xml:space="preserve">2.3 Population Density</w:t>
      </w:r>
    </w:p>
    <w:p>
      <w:pPr>
        <w:pStyle w:val="FirstParagraph"/>
      </w:pPr>
      <w:r>
        <w:t xml:space="preserve">The demographic boom in Uzbekistan has led to overcrowding in residential areas. This density exacerbates the spread of fire and complicates evacuation procedures. Effective response requires not only extinguishing flames but also managing crowd control and mass casualty incidents efficiently.</w:t>
      </w:r>
    </w:p>
    <w:bookmarkEnd w:id="26"/>
    <w:bookmarkStart w:id="27" w:name="climate-factors"/>
    <w:p>
      <w:pPr>
        <w:pStyle w:val="Heading3"/>
      </w:pPr>
      <w:r>
        <w:t xml:space="preserve">2.4 Climate Factors</w:t>
      </w:r>
    </w:p>
    <w:p>
      <w:pPr>
        <w:pStyle w:val="FirstParagraph"/>
      </w:pPr>
      <w:r>
        <w:t xml:space="preserve">The continental climate of Tashkent brings hot, dry summers which increase the risk of wildfires encroaching on urban perimeters. The seasonal variation demands a flexible resource allocation strategy for the emergency services.</w:t>
      </w:r>
    </w:p>
    <w:bookmarkEnd w:id="27"/>
    <w:bookmarkStart w:id="28" w:name="X71b761b962f016ab1acb4b2779630b19914afda"/>
    <w:p>
      <w:pPr>
        <w:pStyle w:val="Heading3"/>
      </w:pPr>
      <w:r>
        <w:t xml:space="preserve">3. Modernizing Firefighter Operations in Uzbekistan Tashkent</w:t>
      </w:r>
    </w:p>
    <w:p>
      <w:pPr>
        <w:pStyle w:val="FirstParagraph"/>
      </w:pPr>
      <w:r>
        <w:t xml:space="preserve">To address these multifaceted challenges, a comprehensive overhaul of training and equipment procurement is recommended. The modernization strategy focuses on three pillars: Technology Integration, Community Engagement, and Specialized Training.</w:t>
      </w:r>
    </w:p>
    <w:p>
      <w:pPr>
        <w:numPr>
          <w:ilvl w:val="0"/>
          <w:numId w:val="1001"/>
        </w:numPr>
        <w:pStyle w:val="Compact"/>
      </w:pPr>
      <w:r>
        <w:rPr>
          <w:bCs/>
          <w:b/>
        </w:rPr>
        <w:t xml:space="preserve">Digital Mapping:</w:t>
      </w:r>
      <w:r>
        <w:t xml:space="preserve"> </w:t>
      </w:r>
      <w:r>
        <w:t xml:space="preserve">Implementation of GIS (Geographic Information Systems) for Tashkent’s fire stations to optimize dispatch times based on real-time traffic data and building layouts. This is crucial in the congested center of</w:t>
      </w:r>
      <w:r>
        <w:t xml:space="preserve"> </w:t>
      </w:r>
      <w:r>
        <w:rPr>
          <w:bCs/>
          <w:b/>
        </w:rPr>
        <w:t xml:space="preserve">Tashkent</w:t>
      </w:r>
      <w:r>
        <w:t xml:space="preserve">.</w:t>
      </w:r>
    </w:p>
    <w:p>
      <w:pPr>
        <w:numPr>
          <w:ilvl w:val="0"/>
          <w:numId w:val="1001"/>
        </w:numPr>
        <w:pStyle w:val="Compact"/>
      </w:pPr>
      <w:r>
        <w:rPr>
          <w:bCs/>
          <w:b/>
        </w:rPr>
        <w:t xml:space="preserve">Specialized Gear:</w:t>
      </w:r>
      <w:r>
        <w:t xml:space="preserve"> </w:t>
      </w:r>
      <w:r>
        <w:t xml:space="preserve">Procurement of compact, modular firefighting vehicles suitable for narrow streets in historic districts, ensuring that the</w:t>
      </w:r>
      <w:r>
        <w:t xml:space="preserve"> </w:t>
      </w:r>
      <w:r>
        <w:rPr>
          <w:bCs/>
          <w:b/>
        </w:rPr>
        <w:t xml:space="preserve">Firefighter</w:t>
      </w:r>
      <w:r>
        <w:t xml:space="preserve"> </w:t>
      </w:r>
      <w:r>
        <w:t xml:space="preserve">can access every corner of the capital.</w:t>
      </w:r>
    </w:p>
    <w:p>
      <w:pPr>
        <w:numPr>
          <w:ilvl w:val="0"/>
          <w:numId w:val="1001"/>
        </w:numPr>
        <w:pStyle w:val="Compact"/>
      </w:pPr>
      <w:r>
        <w:br/>
      </w:r>
      <w:r>
        <w:t xml:space="preserve">International Collaboration: Strengthening partnerships with global fire departments to exchange best practices regarding high-rise rescue and hazardous material handling.</w:t>
      </w:r>
    </w:p>
    <w:bookmarkEnd w:id="28"/>
    <w:bookmarkStart w:id="29" w:name="projected-impact-on-civil-safety"/>
    <w:p>
      <w:pPr>
        <w:pStyle w:val="Heading3"/>
      </w:pPr>
      <w:r>
        <w:t xml:space="preserve">4. Projected Impact on Civil Safety</w:t>
      </w:r>
    </w:p>
    <w:p>
      <w:pPr>
        <w:pStyle w:val="FirstParagraph"/>
      </w:pPr>
      <w:r>
        <w:t xml:space="preserve">The adoption of these advanced protocols aims to reduce response times by an estimated 15-20% in urban cores. Furthermore, proactive education campaigns targeting schools and residential complexes in Tashkent will empower citizens with self-rescue skills, thereby reducing the burden on emergency responders during critical incidents. The goal is to establish a resilient safety net where technology supports human bravery.</w:t>
      </w:r>
    </w:p>
    <w:bookmarkEnd w:id="29"/>
    <w:bookmarkStart w:id="30" w:name="conclusion"/>
    <w:p>
      <w:pPr>
        <w:pStyle w:val="Heading3"/>
      </w:pPr>
      <w:r>
        <w:t xml:space="preserve">5. Conclusion</w:t>
      </w:r>
    </w:p>
    <w:p>
      <w:pPr>
        <w:pStyle w:val="FirstParagraph"/>
      </w:pPr>
      <w:r>
        <w:t xml:space="preserve">In conclusion, the role of the</w:t>
      </w:r>
      <w:r>
        <w:t xml:space="preserve"> </w:t>
      </w:r>
      <w:r>
        <w:rPr>
          <w:bCs/>
          <w:b/>
        </w:rPr>
        <w:t xml:space="preserve">Firefighter</w:t>
      </w:r>
      <w:r>
        <w:t xml:space="preserve"> </w:t>
      </w:r>
      <w:r>
        <w:t xml:space="preserve">in Uzbekistan Tashkent extends beyond mere extinguishment of flames; it is about preserving the continuity of urban life amidst rapid change. By adapting to local architectural nuances and embracing technological innovation, emergency services can safeguard both the heritage and future growth of Tashkent. Continued investment in this sector is not just a regulatory requirement but a moral imperative for sustainable urban development in Central Asia.</w:t>
      </w:r>
    </w:p>
    <w:bookmarkEnd w:id="30"/>
    <w:p>
      <w:pPr>
        <w:pStyle w:val="BodyText"/>
      </w:pPr>
      <w:r>
        <w:t xml:space="preserve">© 2023 Academic Symposium on Civil Safety | All Rights Reserved | Focus: Emergency Services in Uzbekistan</w:t>
      </w:r>
    </w:p>
    <w:p>
      <w:pPr>
        <w:pStyle w:val="BodyText"/>
      </w:pPr>
      <w:r>
        <w:t xml:space="preserve">Contact for further details regarding Firefighter training protocols in Tashkent.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Operations in Uzbekistan Tashkent</dc:title>
  <dc:creator/>
  <dc:language>en</dc:language>
  <cp:keywords/>
  <dcterms:created xsi:type="dcterms:W3CDTF">2026-07-29T14:28:39Z</dcterms:created>
  <dcterms:modified xsi:type="dcterms:W3CDTF">2026-07-29T14:28:39Z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