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Dynamics</w:t>
      </w:r>
      <w:r>
        <w:t xml:space="preserve"> </w:t>
      </w:r>
      <w:r>
        <w:t xml:space="preserve">of</w:t>
      </w:r>
      <w:r>
        <w:t xml:space="preserve"> </w:t>
      </w:r>
      <w:r>
        <w:t xml:space="preserve">the</w:t>
      </w:r>
      <w:r>
        <w:t xml:space="preserve"> </w:t>
      </w:r>
      <w:r>
        <w:t xml:space="preserve">East</w:t>
      </w:r>
      <w:r>
        <w:t xml:space="preserve"> </w:t>
      </w:r>
      <w:r>
        <w:t xml:space="preserve">European</w:t>
      </w:r>
      <w:r>
        <w:t xml:space="preserve"> </w:t>
      </w:r>
      <w:r>
        <w:t xml:space="preserve">Craton:</w:t>
      </w:r>
      <w:r>
        <w:t xml:space="preserve"> </w:t>
      </w:r>
      <w:r>
        <w:t xml:space="preserve">A</w:t>
      </w:r>
      <w:r>
        <w:t xml:space="preserve"> </w:t>
      </w:r>
      <w:r>
        <w:t xml:space="preserve">Modern</w:t>
      </w:r>
      <w:r>
        <w:t xml:space="preserve"> </w:t>
      </w:r>
      <w:r>
        <w:t xml:space="preserve">Perspective</w:t>
      </w:r>
      <w:r>
        <w:t xml:space="preserve"> </w:t>
      </w:r>
      <w:r>
        <w:t xml:space="preserve">from</w:t>
      </w:r>
      <w:r>
        <w:t xml:space="preserve"> </w:t>
      </w:r>
      <w:r>
        <w:t xml:space="preserve">Russia</w:t>
      </w:r>
      <w:r>
        <w:t xml:space="preserve"> </w:t>
      </w:r>
      <w:r>
        <w:t xml:space="preserve">Moscow</w:t>
      </w:r>
    </w:p>
    <w:bookmarkStart w:id="20" w:name="X0d464d7512ab58b6e2bf85b50bf76df8058044b"/>
    <w:p>
      <w:pPr>
        <w:pStyle w:val="Heading1"/>
      </w:pPr>
      <w:r>
        <w:t xml:space="preserve">Tectonic Evolution and Mineral Wealth of the East European Craton: Implications for Sustainable Resource Management</w:t>
      </w:r>
    </w:p>
    <w:p>
      <w:pPr>
        <w:pStyle w:val="FirstParagraph"/>
      </w:pPr>
      <w:r>
        <w:t xml:space="preserve">Presented at the International Symposium on Geological Sciences</w:t>
      </w:r>
      <w:r>
        <w:br/>
      </w:r>
      <w:r>
        <w:t xml:space="preserve">Hosted in Russia Moscow, with a focus on regional stratigraphy and deep-earth analytics.</w:t>
      </w:r>
      <w:r>
        <w:br/>
      </w:r>
      <w:r>
        <w:br/>
      </w:r>
      <w:r>
        <w:rPr>
          <w:bCs/>
          <w:b/>
        </w:rPr>
        <w:t xml:space="preserve">Lead Presenter:</w:t>
      </w:r>
      <w:r>
        <w:t xml:space="preserve"> </w:t>
      </w:r>
      <w:r>
        <w:t xml:space="preserve">Dr. Alexei Volkov, Senior Geologist</w:t>
      </w:r>
      <w:r>
        <w:br/>
      </w:r>
      <w:r>
        <w:rPr>
          <w:bCs/>
          <w:b/>
        </w:rPr>
        <w:t xml:space="preserve">Affiliation:</w:t>
      </w:r>
      <w:r>
        <w:t xml:space="preserve">Institute of Earth Cryosphere, Siberian Branch of the Russian Academy of Sciences</w:t>
      </w:r>
      <w:r>
        <w:br/>
      </w:r>
      <w:r>
        <w:rPr>
          <w:iCs/>
          <w:i/>
        </w:rPr>
        <w:t xml:space="preserve">Contact: a.volkov@earthcrystal.ru</w:t>
      </w:r>
    </w:p>
    <w:bookmarkEnd w:id="20"/>
    <w:bookmarkStart w:id="21" w:name="abstract"/>
    <w:p>
      <w:pPr>
        <w:pStyle w:val="Heading2"/>
      </w:pPr>
      <w:r>
        <w:t xml:space="preserve">Abstract</w:t>
      </w:r>
    </w:p>
    <w:p>
      <w:pPr>
        <w:pStyle w:val="FirstParagraph"/>
      </w:pPr>
      <w:r>
        <w:t xml:space="preserve">The East European Craton (EEC) stands as one of the oldest and most geologically stable platforms on Earth. This academic poster presentation outlines recent geological surveys conducted within the Russian Federation, specifically focusing on the structural complexities located near Russia Moscow and extending into the broader Volga-Ural petroleum province. As global demand for critical minerals increases, understanding the deep-seated tectonic history of this region is paramount. Our research integrates high-resolution seismic tomography with geochemical isotopic analysis to redefine the boundaries of Proterozoic terranes within central Russia. The findings suggest that previously unmapped fault lines in the vicinity of Russia Moscow may host significant deposits of rare earth elements (REEs). This document serves as a comprehensive overview for the academic community, bridging classical geological theory with modern geophysical application.</w:t>
      </w:r>
    </w:p>
    <w:bookmarkEnd w:id="21"/>
    <w:bookmarkStart w:id="22" w:name="introduction"/>
    <w:p>
      <w:pPr>
        <w:pStyle w:val="Heading2"/>
      </w:pPr>
      <w:r>
        <w:t xml:space="preserve">Introduction</w:t>
      </w:r>
    </w:p>
    <w:p>
      <w:pPr>
        <w:pStyle w:val="FirstParagraph"/>
      </w:pPr>
      <w:r>
        <w:t xml:space="preserve">The geological framework of Russia is vast and heterogeneous, ranging from the young fold belts of the Far East to ancient crystalline shields. Central to this diversity is the East European Craton, which underlies much of northeastern Europe. While historical geological maps provided by early Soviet surveyors offer valuable baseline data, they lack the resolution required for modern extraction technologies and environmental impact assessments. This study aims to correct these discrepancies by applying contemporary</w:t>
      </w:r>
      <w:r>
        <w:t xml:space="preserve"> </w:t>
      </w:r>
      <w:r>
        <w:t xml:space="preserve">Geologist</w:t>
      </w:r>
      <w:r>
        <w:t xml:space="preserve"> </w:t>
      </w:r>
      <w:r>
        <w:t xml:space="preserve">methodologies to long-standing geological anomalies.</w:t>
      </w:r>
    </w:p>
    <w:p>
      <w:pPr>
        <w:pStyle w:val="BodyText"/>
      </w:pPr>
      <w:r>
        <w:t xml:space="preserve">The specific focus of this presentation is the tectonic stability and mineralogical composition of the region surrounding Russia Moscow. Often perceived merely as a political and cultural hub, the subsurface geology beneath this metropolitan area holds significant economic potential. By re-evaluating historical seismic data through modern computational modeling, we aim to demonstrate that the geological risks associated with urban expansion in Russia Moscow are manageable, provided that current tectonic understandings are updated.</w:t>
      </w:r>
    </w:p>
    <w:bookmarkEnd w:id="22"/>
    <w:bookmarkStart w:id="23" w:name="methodology"/>
    <w:p>
      <w:pPr>
        <w:pStyle w:val="Heading2"/>
      </w:pPr>
      <w:r>
        <w:t xml:space="preserve">Methodology</w:t>
      </w:r>
    </w:p>
    <w:p>
      <w:pPr>
        <w:pStyle w:val="FirstParagraph"/>
      </w:pPr>
      <w:r>
        <w:t xml:space="preserve">To achieve accurate geological mapping of the target regions, a multi-disciplinary approach was adopted. This methodology reflects the rigorous standards expected in contemporary academic circles in Russia Moscow and internationally.</w:t>
      </w:r>
    </w:p>
    <w:p>
      <w:pPr>
        <w:numPr>
          <w:ilvl w:val="0"/>
          <w:numId w:val="1001"/>
        </w:numPr>
        <w:pStyle w:val="Compact"/>
      </w:pPr>
      <w:r>
        <w:rPr>
          <w:bCs/>
          <w:b/>
        </w:rPr>
        <w:t xml:space="preserve">Digital Seismic Tomography:</w:t>
      </w:r>
      <w:r>
        <w:t xml:space="preserve"> </w:t>
      </w:r>
      <w:r>
        <w:t xml:space="preserve">We utilized ambient noise tomography to create 3D velocity models of the crust down to a depth of 50 kilometers. This non-invasive technique allows for the visualization of subsurface structures without heavy drilling, reducing environmental impact.</w:t>
      </w:r>
    </w:p>
    <w:p>
      <w:pPr>
        <w:numPr>
          <w:ilvl w:val="0"/>
          <w:numId w:val="1001"/>
        </w:numPr>
        <w:pStyle w:val="Compact"/>
      </w:pPr>
      <w:r>
        <w:rPr>
          <w:bCs/>
          <w:b/>
        </w:rPr>
        <w:t xml:space="preserve">Petrographic Analysis:</w:t>
      </w:r>
      <w:r>
        <w:t xml:space="preserve"> </w:t>
      </w:r>
      <w:r>
        <w:t xml:space="preserve">Core samples retrieved from historical boreholes in the Moscow Syncline were subjected to thin-section petrography and Scanning Electron Microscopy (SEM). This allowed for precise mineral identification and textural analysis of granitoid intrusions.</w:t>
      </w:r>
    </w:p>
    <w:p>
      <w:pPr>
        <w:numPr>
          <w:ilvl w:val="0"/>
          <w:numId w:val="1001"/>
        </w:numPr>
        <w:pStyle w:val="Compact"/>
      </w:pPr>
      <w:r>
        <w:rPr>
          <w:bCs/>
          <w:b/>
        </w:rPr>
        <w:t xml:space="preserve">Isotope Geochemistry:</w:t>
      </w:r>
      <w:r>
        <w:t xml:space="preserve"> </w:t>
      </w:r>
      <w:r>
        <w:t xml:space="preserve">Strontium-Neodymium isotopic ratios were measured in zircon grains extracted from metamorphic rocks. These ratios serve as fingerprints for distinguishing between continental crust and mantle-derived materials, helping to reconstruct the collisional history of the craton.</w:t>
      </w:r>
    </w:p>
    <w:p>
      <w:pPr>
        <w:numPr>
          <w:ilvl w:val="0"/>
          <w:numId w:val="1001"/>
        </w:numPr>
        <w:pStyle w:val="Compact"/>
      </w:pPr>
      <w:r>
        <w:rPr>
          <w:bCs/>
          <w:b/>
        </w:rPr>
        <w:t xml:space="preserve">GIS Integration:</w:t>
      </w:r>
      <w:r>
        <w:t xml:space="preserve"> </w:t>
      </w:r>
      <w:r>
        <w:t xml:space="preserve">All geological data points were integrated into a Geographic Information System (GIS) platform to overlay tectonic faults with current urban planning zones in Russia Moscow.</w:t>
      </w:r>
    </w:p>
    <w:bookmarkEnd w:id="23"/>
    <w:bookmarkStart w:id="28" w:name="key-findings"/>
    <w:p>
      <w:pPr>
        <w:pStyle w:val="Heading2"/>
      </w:pPr>
      <w:r>
        <w:t xml:space="preserve">Key Findings</w:t>
      </w:r>
    </w:p>
    <w:p>
      <w:pPr>
        <w:pStyle w:val="FirstParagraph"/>
      </w:pPr>
      <w:r>
        <w:t xml:space="preserve">The analysis of the geological data has yielded several critical insights that challenge conventional wisdom regarding the stability and resource potential of the region.</w:t>
      </w:r>
    </w:p>
    <w:bookmarkStart w:id="24" w:name="X353c434be7e75d8c94c3379f81812c3989473b6"/>
    <w:p>
      <w:pPr>
        <w:pStyle w:val="Heading3"/>
      </w:pPr>
      <w:r>
        <w:t xml:space="preserve">1. Re-definition of Fault Lines near Russia Moscow</w:t>
      </w:r>
    </w:p>
    <w:p>
      <w:pPr>
        <w:pStyle w:val="FirstParagraph"/>
      </w:pPr>
      <w:r>
        <w:t xml:space="preserve">Contrary to previous assumptions that the area surrounding Russia Moscow is tectonically inactive, our seismic models reveal a network of blind faults extending beneath the urban sprawl. While these faults are currently seismically quiet, their presence suggests a complex stress regime inherited from Paleozoic orogenies. For geologists involved in infrastructure planning within Russia Moscow, this finding necessitates an update to local building codes and seismic hazard assessments.</w:t>
      </w:r>
    </w:p>
    <w:bookmarkEnd w:id="24"/>
    <w:bookmarkStart w:id="25" w:name="presence-of-rare-earth-elements-rees"/>
    <w:p>
      <w:pPr>
        <w:pStyle w:val="Heading3"/>
      </w:pPr>
      <w:r>
        <w:t xml:space="preserve">2. Presence of Rare Earth Elements (REEs)</w:t>
      </w:r>
    </w:p>
    <w:p>
      <w:pPr>
        <w:pStyle w:val="FirstParagraph"/>
      </w:pPr>
      <w:r>
        <w:t xml:space="preserve">The most significant economic finding is the identification of carbonatite intrusions rich in Lanthanides. These geological formations, previously overlooked due to low-resolution mapping, are concentrated in specific structural lows within the Volga region but show surface indicators that correlate with anomalies detected near the Moscow Oblast boundaries. This suggests that a rigorous search for REEs could transform the economic landscape of central Russia.</w:t>
      </w:r>
    </w:p>
    <w:bookmarkEnd w:id="25"/>
    <w:bookmarkStart w:id="26" w:name="hydrogeological-implications"/>
    <w:p>
      <w:pPr>
        <w:pStyle w:val="Heading3"/>
      </w:pPr>
      <w:r>
        <w:t xml:space="preserve">3. Hydrogeological Implications</w:t>
      </w:r>
    </w:p>
    <w:p>
      <w:pPr>
        <w:pStyle w:val="FirstParagraph"/>
      </w:pPr>
      <w:r>
        <w:t xml:space="preserve">The interaction between deep saline aquifers and shallow freshwater systems was mapped in detail. We identified barriers to groundwater flow caused by impermeable clay layers associated with the Kazanian transgression. This is crucial for managing water resources in Russia Moscow, where urban demand places immense pressure on local aquifers.</w:t>
      </w:r>
    </w:p>
    <w:bookmarkEnd w:id="26"/>
    <w:bookmarkStart w:id="27" w:name="stratigraphic-correlation"/>
    <w:p>
      <w:pPr>
        <w:pStyle w:val="Heading3"/>
      </w:pPr>
      <w:r>
        <w:t xml:space="preserve">4. Stratigraphic Correlation</w:t>
      </w:r>
    </w:p>
    <w:p>
      <w:pPr>
        <w:pStyle w:val="FirstParagraph"/>
      </w:pPr>
      <w:r>
        <w:t xml:space="preserve">We established a new biostratigraphic correlation between the Middle Devonian deposits of the Moscow Syncline and contemporaneous formations in Poland and Ukraine. This cross-border geological alignment enhances our understanding of paleogeography during the Paleozoic era, providing a broader context for European geological history.</w:t>
      </w:r>
    </w:p>
    <w:bookmarkEnd w:id="27"/>
    <w:bookmarkEnd w:id="28"/>
    <w:bookmarkStart w:id="29" w:name="implications-for-geology-and-society"/>
    <w:p>
      <w:pPr>
        <w:pStyle w:val="Heading2"/>
      </w:pPr>
      <w:r>
        <w:t xml:space="preserve">Implications for Geology and Society</w:t>
      </w:r>
    </w:p>
    <w:p>
      <w:pPr>
        <w:pStyle w:val="FirstParagraph"/>
      </w:pPr>
      <w:r>
        <w:t xml:space="preserve">The role of the modern Geologist extends beyond mere description; it involves prediction and resource management. The findings presented here have profound implications for several sectors:</w:t>
      </w:r>
    </w:p>
    <w:p>
      <w:pPr>
        <w:pStyle w:val="BodyText"/>
      </w:pPr>
      <w:r>
        <w:rPr>
          <w:bCs/>
          <w:b/>
        </w:rPr>
        <w:t xml:space="preserve">Economic Development:</w:t>
      </w:r>
      <w:r>
        <w:t xml:space="preserve"> </w:t>
      </w:r>
      <w:r>
        <w:t xml:space="preserve">The potential discovery of REE deposits aligns with global trends toward green energy technologies. By leveraging accurate geological data from Russia Moscow, the region could position itself as a key supplier in the global supply chain for batteries and electronics, reducing reliance on imports.</w:t>
      </w:r>
    </w:p>
    <w:p>
      <w:pPr>
        <w:pStyle w:val="BodyText"/>
      </w:pPr>
      <w:r>
        <w:rPr>
          <w:bCs/>
          <w:b/>
        </w:rPr>
        <w:t xml:space="preserve">Urban Planning in Russia Moscow:</w:t>
      </w:r>
      <w:r>
        <w:t xml:space="preserve"> </w:t>
      </w:r>
      <w:r>
        <w:t xml:space="preserve">As one of the most densely populated regions in Europe, safe urban expansion is critical. The identification of subsurface faults allows city planners to avoid high-risk construction zones. This proactive approach to geology ensures the longevity and safety of infrastructure, protecting millions of residents.</w:t>
      </w:r>
    </w:p>
    <w:p>
      <w:pPr>
        <w:pStyle w:val="BodyText"/>
      </w:pPr>
      <w:r>
        <w:rPr>
          <w:bCs/>
          <w:b/>
        </w:rPr>
        <w:t xml:space="preserve">Environmental Stewardship:</w:t>
      </w:r>
      <w:r>
        <w:t xml:space="preserve"> </w:t>
      </w:r>
      <w:r>
        <w:t xml:space="preserve">Understanding the deep geological structure aids in carbon capture and storage (CCS) initiatives. The saline aquifers identified in our study could serve as secure reservoirs for sequestering CO2 emissions from industrial facilities near Russia Moscow, contributing to climate change mitigation efforts.</w:t>
      </w:r>
    </w:p>
    <w:bookmarkEnd w:id="29"/>
    <w:bookmarkStart w:id="30" w:name="conclusion"/>
    <w:p>
      <w:pPr>
        <w:pStyle w:val="Heading2"/>
      </w:pPr>
      <w:r>
        <w:t xml:space="preserve">Conclusion</w:t>
      </w:r>
    </w:p>
    <w:p>
      <w:pPr>
        <w:pStyle w:val="FirstParagraph"/>
      </w:pPr>
      <w:r>
        <w:t xml:space="preserve">This poster presentation underscores the dynamic nature of geological science. Even in ancient cratons like the East European Craton, new discoveries are being made through advanced technology and rigorous analysis. The work conducted near Russia Moscow demonstrates that a deep understanding of sub-surface geology is essential for sustainable development.</w:t>
      </w:r>
    </w:p>
    <w:p>
      <w:pPr>
        <w:pStyle w:val="BodyText"/>
      </w:pPr>
      <w:r>
        <w:t xml:space="preserve">We call upon the international community to collaborate on further seismic surveys in this region. As Geologists, we must continue to push the boundaries of our knowledge, ensuring that the geological heritage of Russia Moscow and beyond is utilized responsibly and effectively. Future research will focus on extracting viable quantities of rare earth elements from identified carbonatites and modeling long-term tectonic stability under varying climatic conditions.</w:t>
      </w:r>
    </w:p>
    <w:bookmarkEnd w:id="30"/>
    <w:bookmarkStart w:id="31" w:name="acknowledgements-and-references"/>
    <w:p>
      <w:pPr>
        <w:pStyle w:val="Heading3"/>
      </w:pPr>
      <w:r>
        <w:t xml:space="preserve">Acknowledgements and References</w:t>
      </w:r>
    </w:p>
    <w:p>
      <w:pPr>
        <w:pStyle w:val="FirstParagraph"/>
      </w:pPr>
      <w:r>
        <w:t xml:space="preserve">This research was supported by the Russian Foundation for Basic Research. We thank the geological survey teams of central Russia for their field assistance. Data availability is restricted due to national security protocols regarding strategic mineral resources.</w:t>
      </w:r>
    </w:p>
    <w:p>
      <w:pPr>
        <w:numPr>
          <w:ilvl w:val="0"/>
          <w:numId w:val="1002"/>
        </w:numPr>
        <w:pStyle w:val="Compact"/>
      </w:pPr>
      <w:r>
        <w:t xml:space="preserve">Bogoyavlensky, G.V., et al. (2021). "Seismic Tomography of the East European Platform."</w:t>
      </w:r>
      <w:r>
        <w:t xml:space="preserve"> </w:t>
      </w:r>
      <w:r>
        <w:rPr>
          <w:iCs/>
          <w:i/>
        </w:rPr>
        <w:t xml:space="preserve">Geophysical Journal International</w:t>
      </w:r>
      <w:r>
        <w:t xml:space="preserve">.</w:t>
      </w:r>
    </w:p>
    <w:p>
      <w:pPr>
        <w:numPr>
          <w:ilvl w:val="0"/>
          <w:numId w:val="1002"/>
        </w:numPr>
        <w:pStyle w:val="Compact"/>
      </w:pPr>
      <w:r>
        <w:t xml:space="preserve">Kuznetsov, A.B. (2019). "Mineral Resources of the Moscow Syncline."</w:t>
      </w:r>
      <w:r>
        <w:t xml:space="preserve"> </w:t>
      </w:r>
      <w:r>
        <w:rPr>
          <w:iCs/>
          <w:i/>
        </w:rPr>
        <w:t xml:space="preserve">Russian Geological Research Journal</w:t>
      </w:r>
      <w:r>
        <w:t xml:space="preserve">.</w:t>
      </w:r>
    </w:p>
    <w:p>
      <w:pPr>
        <w:numPr>
          <w:ilvl w:val="0"/>
          <w:numId w:val="1002"/>
        </w:numPr>
        <w:pStyle w:val="Compact"/>
      </w:pPr>
      <w:r>
        <w:t xml:space="preserve">Sobolev, F.V. (2022). "Urban Geology: Challenges in Russia Moscow."</w:t>
      </w:r>
      <w:r>
        <w:t xml:space="preserve"> </w:t>
      </w:r>
      <w:r>
        <w:rPr>
          <w:iCs/>
          <w:i/>
        </w:rPr>
        <w:t xml:space="preserve">Journal of Applied Geology</w:t>
      </w:r>
      <w:r>
        <w:t xml:space="preserve">.</w:t>
      </w:r>
    </w:p>
    <w:bookmarkEnd w:id="31"/>
    <w:p>
      <w:pPr>
        <w:pStyle w:val="FirstParagraph"/>
      </w:pPr>
      <w:r>
        <w:t xml:space="preserve">© 2023 International Geological Symposium.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Dynamics of the East European Craton: A Modern Perspective from Russia Moscow</dc:title>
  <dc:creator/>
  <dc:language>en</dc:language>
  <cp:keywords/>
  <dcterms:created xsi:type="dcterms:W3CDTF">2026-07-29T12:45:39Z</dcterms:created>
  <dcterms:modified xsi:type="dcterms:W3CDTF">2026-07-29T12:45:39Z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