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Heritage</w:t>
      </w:r>
      <w:r>
        <w:t xml:space="preserve"> </w:t>
      </w:r>
      <w:r>
        <w:t xml:space="preserve">and</w:t>
      </w:r>
      <w:r>
        <w:t xml:space="preserve"> </w:t>
      </w:r>
      <w:r>
        <w:t xml:space="preserve">Urban</w:t>
      </w:r>
      <w:r>
        <w:t xml:space="preserve"> </w:t>
      </w:r>
      <w:r>
        <w:t xml:space="preserve">Resilience:</w:t>
      </w:r>
      <w:r>
        <w:t xml:space="preserve"> </w:t>
      </w:r>
      <w:r>
        <w:t xml:space="preserve">A</w:t>
      </w:r>
      <w:r>
        <w:t xml:space="preserve"> </w:t>
      </w:r>
      <w:r>
        <w:t xml:space="preserve">Geologist’s</w:t>
      </w:r>
      <w:r>
        <w:t xml:space="preserve"> </w:t>
      </w:r>
      <w:r>
        <w:t xml:space="preserve">Perspective</w:t>
      </w:r>
      <w:r>
        <w:t xml:space="preserve"> </w:t>
      </w:r>
      <w:r>
        <w:t xml:space="preserve">on</w:t>
      </w:r>
      <w:r>
        <w:t xml:space="preserve"> </w:t>
      </w:r>
      <w:r>
        <w:t xml:space="preserve">Thailand</w:t>
      </w:r>
      <w:r>
        <w:t xml:space="preserve"> </w:t>
      </w:r>
      <w:r>
        <w:t xml:space="preserve">Bangkok</w:t>
      </w:r>
    </w:p>
    <w:bookmarkStart w:id="21" w:name="Xa36caa04d4b99e627028f5e378331f41a34cf49"/>
    <w:p>
      <w:pPr>
        <w:pStyle w:val="Heading1"/>
      </w:pPr>
      <w:r>
        <w:t xml:space="preserve">Bridging Ancient Geology and Modern Urban Resilience</w:t>
      </w:r>
    </w:p>
    <w:p>
      <w:pPr>
        <w:pStyle w:val="FirstParagraph"/>
      </w:pPr>
      <w:r>
        <w:br/>
      </w:r>
    </w:p>
    <w:bookmarkStart w:id="20" w:name="X059e155497218b8a34831cd856c91480ac084c3"/>
    <w:p>
      <w:pPr>
        <w:pStyle w:val="Heading2"/>
      </w:pPr>
      <w:r>
        <w:t xml:space="preserve">An Academic Poster Presentation on the Geological Evolution of Thailand Bangkok</w:t>
      </w:r>
    </w:p>
    <w:p>
      <w:pPr>
        <w:pStyle w:val="FirstParagraph"/>
      </w:pPr>
      <w:r>
        <w:br/>
      </w:r>
    </w:p>
    <w:p>
      <w:pPr>
        <w:pStyle w:val="BodyText"/>
      </w:pPr>
      <w:r>
        <w:t xml:space="preserve">Lead Investigator: Dr. A. Geologist | Institution of Earth Sciences</w:t>
      </w:r>
    </w:p>
    <w:p>
      <w:pPr>
        <w:pStyle w:val="BodyText"/>
      </w:pPr>
      <w:r>
        <w:t xml:space="preserve">Conference Venue: International Academic Hub, Thailand Bangkok</w:t>
      </w:r>
    </w:p>
    <w:bookmarkEnd w:id="20"/>
    <w:bookmarkEnd w:id="21"/>
    <w:bookmarkStart w:id="22" w:name="abstract-and-geologic-context"/>
    <w:p>
      <w:pPr>
        <w:pStyle w:val="Heading3"/>
      </w:pPr>
      <w:r>
        <w:t xml:space="preserve">Abstract and Geologic Context</w:t>
      </w:r>
    </w:p>
    <w:p>
      <w:pPr>
        <w:pStyle w:val="FirstParagraph"/>
      </w:pPr>
      <w:r>
        <w:br/>
      </w:r>
    </w:p>
    <w:p>
      <w:pPr>
        <w:pStyle w:val="BodyText"/>
      </w:pPr>
      <w:r>
        <w:t xml:space="preserve">The unique geological landscape of Thailand Bangkok presents a fascinating paradox. This modern, bustling metropolis sits atop one of the most complex deltaic systems in Southeast Asia. The primary objective of this</w:t>
      </w:r>
      <w:r>
        <w:t xml:space="preserve"> </w:t>
      </w:r>
      <w:r>
        <w:rPr>
          <w:bCs/>
          <w:b/>
        </w:rPr>
        <w:t xml:space="preserve">Geologist</w:t>
      </w:r>
      <w:r>
        <w:t xml:space="preserve">'s academic inquiry is to decode the sedimentary history that shaped this region and to assess how ancient geological processes dictate present-day urban challenges. As a leading center for geological study,</w:t>
      </w:r>
      <w:r>
        <w:t xml:space="preserve"> </w:t>
      </w:r>
      <w:r>
        <w:rPr>
          <w:bCs/>
          <w:b/>
        </w:rPr>
        <w:t xml:space="preserve">Thailand Bangkok</w:t>
      </w:r>
      <w:r>
        <w:t xml:space="preserve"> </w:t>
      </w:r>
      <w:r>
        <w:t xml:space="preserve">offers an unparalleled living laboratory. This poster presentation synthesizes stratigraphic data, hydrogeological modeling, and seismic risk assessments to propose sustainable urban planning frameworks. By understanding the intricate layers of clay, sand, and silt deposited over millennia by the Chao Phraya River system, we can better predict land subsidence rates and enhance infrastructure resilience against climate-induced flooding.</w:t>
      </w:r>
    </w:p>
    <w:bookmarkEnd w:id="22"/>
    <w:bookmarkStart w:id="23" w:name="the-stratigraphic-record"/>
    <w:p>
      <w:pPr>
        <w:pStyle w:val="Heading4"/>
      </w:pPr>
      <w:r>
        <w:t xml:space="preserve">The Stratigraphic Record</w:t>
      </w:r>
    </w:p>
    <w:p>
      <w:pPr>
        <w:pStyle w:val="FirstParagraph"/>
      </w:pPr>
      <w:r>
        <w:br/>
      </w:r>
    </w:p>
    <w:p>
      <w:pPr>
        <w:numPr>
          <w:ilvl w:val="0"/>
          <w:numId w:val="1001"/>
        </w:numPr>
        <w:pStyle w:val="Compact"/>
      </w:pPr>
      <w:r>
        <w:t xml:space="preserve">The Bangkok Basin is characterized by thick sequences of Holocene alluvial deposits.</w:t>
      </w:r>
    </w:p>
    <w:p>
      <w:pPr>
        <w:numPr>
          <w:ilvl w:val="0"/>
          <w:numId w:val="1001"/>
        </w:numPr>
        <w:pStyle w:val="Compact"/>
      </w:pPr>
      <w:r>
        <w:t xml:space="preserve">Sediment core analyses reveal rapid sedimentation rates dating back thousands of years.</w:t>
      </w:r>
    </w:p>
    <w:p>
      <w:pPr>
        <w:numPr>
          <w:ilvl w:val="0"/>
          <w:numId w:val="1001"/>
        </w:numPr>
        <w:pStyle w:val="Compact"/>
      </w:pPr>
      <w:r>
        <w:t xml:space="preserve">Detailed mapping identifies distinct layers of peat, clay, and fine-grained sand crucial for aquifer dynamics.</w:t>
      </w:r>
    </w:p>
    <w:bookmarkEnd w:id="23"/>
    <w:bookmarkStart w:id="24" w:name="hydrogeology-subsidence"/>
    <w:p>
      <w:pPr>
        <w:pStyle w:val="Heading4"/>
      </w:pPr>
      <w:r>
        <w:t xml:space="preserve">Hydrogeology &amp; Subsidence</w:t>
      </w:r>
    </w:p>
    <w:p>
      <w:pPr>
        <w:pStyle w:val="FirstParagraph"/>
      </w:pPr>
      <w:r>
        <w:br/>
      </w:r>
    </w:p>
    <w:p>
      <w:pPr>
        <w:numPr>
          <w:ilvl w:val="0"/>
          <w:numId w:val="1002"/>
        </w:numPr>
        <w:pStyle w:val="Compact"/>
      </w:pPr>
      <w:r>
        <w:t xml:space="preserve">Extensive groundwater extraction has led to measurable land subsidence across the city.</w:t>
      </w:r>
    </w:p>
    <w:p>
      <w:pPr>
        <w:numPr>
          <w:ilvl w:val="0"/>
          <w:numId w:val="1002"/>
        </w:numPr>
        <w:pStyle w:val="Compact"/>
      </w:pPr>
      <w:r>
        <w:t xml:space="preserve">This geological phenomenon threatens critical infrastructure and drainage systems.</w:t>
      </w:r>
    </w:p>
    <w:p>
      <w:pPr>
        <w:numPr>
          <w:ilvl w:val="0"/>
          <w:numId w:val="1002"/>
        </w:numPr>
        <w:pStyle w:val="Compact"/>
      </w:pPr>
      <w:r>
        <w:rPr>
          <w:bCs/>
          <w:b/>
        </w:rPr>
        <w:t xml:space="preserve">Thailand Bangkok</w:t>
      </w:r>
      <w:r>
        <w:t xml:space="preserve"> </w:t>
      </w:r>
      <w:r>
        <w:t xml:space="preserve">serves as a critical case study for global delta cities facing similar issues.</w:t>
      </w:r>
    </w:p>
    <w:bookmarkEnd w:id="24"/>
    <w:p>
      <w:pPr>
        <w:pStyle w:val="FirstParagraph"/>
      </w:pPr>
      <w:r>
        <w:br/>
      </w:r>
    </w:p>
    <w:bookmarkStart w:id="25" w:name="tectonic-stability-assessment"/>
    <w:p>
      <w:pPr>
        <w:pStyle w:val="Heading4"/>
      </w:pPr>
      <w:r>
        <w:t xml:space="preserve">Tectonic Stability Assessment</w:t>
      </w:r>
    </w:p>
    <w:p>
      <w:pPr>
        <w:pStyle w:val="FirstParagraph"/>
      </w:pPr>
      <w:r>
        <w:br/>
      </w:r>
    </w:p>
    <w:p>
      <w:pPr>
        <w:numPr>
          <w:ilvl w:val="0"/>
          <w:numId w:val="1003"/>
        </w:numPr>
        <w:pStyle w:val="Compact"/>
      </w:pPr>
      <w:r>
        <w:t xml:space="preserve">While not located on a major fault line, the basin exhibits sensitivity to regional seismic activity.</w:t>
      </w:r>
    </w:p>
    <w:p>
      <w:pPr>
        <w:numPr>
          <w:ilvl w:val="0"/>
          <w:numId w:val="1003"/>
        </w:numPr>
        <w:pStyle w:val="Compact"/>
      </w:pPr>
      <w:r>
        <w:t xml:space="preserve">Liquefaction potential varies significantly based on local soil composition and saturation.</w:t>
      </w:r>
    </w:p>
    <w:bookmarkEnd w:id="25"/>
    <w:p>
      <w:pPr>
        <w:pStyle w:val="FirstParagraph"/>
      </w:pPr>
      <w:r>
        <w:br/>
      </w:r>
    </w:p>
    <w:bookmarkStart w:id="26" w:name="X59c698143d0c423e61e1e6fc03ebdc7c48a4f3f"/>
    <w:p>
      <w:pPr>
        <w:pStyle w:val="Heading3"/>
      </w:pPr>
      <w:r>
        <w:t xml:space="preserve">Methodology: A Geologist’s Rigorous Approach</w:t>
      </w:r>
    </w:p>
    <w:p>
      <w:pPr>
        <w:pStyle w:val="FirstParagraph"/>
      </w:pPr>
      <w:r>
        <w:br/>
      </w:r>
    </w:p>
    <w:p>
      <w:pPr>
        <w:pStyle w:val="BodyText"/>
      </w:pPr>
      <w:r>
        <w:t xml:space="preserve">The research methodology employed in this study relies on advanced geological surveying techniques combined with historical data analysis. As a dedicated</w:t>
      </w:r>
      <w:r>
        <w:t xml:space="preserve"> </w:t>
      </w:r>
      <w:r>
        <w:rPr>
          <w:bCs/>
          <w:b/>
        </w:rPr>
        <w:t xml:space="preserve">Geologist</w:t>
      </w:r>
      <w:r>
        <w:t xml:space="preserve">, I have integrated remote sensing satellite imagery with ground-penetrating radar surveys to create a high-resolution 3D model of the subsurface strata beneath</w:t>
      </w:r>
      <w:r>
        <w:t xml:space="preserve"> </w:t>
      </w:r>
      <w:r>
        <w:rPr>
          <w:bCs/>
          <w:b/>
        </w:rPr>
        <w:t xml:space="preserve">Thailand Bangkok</w:t>
      </w:r>
      <w:r>
        <w:t xml:space="preserve">. This non-invasive approach allows for precise identification of aquifer boundaries and fault lines that are not visible on the surface. Furthermore, we utilized isotope geochemistry to trace water sources and determine recharge rates. These rigorous scientific methods ensure that our findings are robust, replicable, and directly applicable to policy-making bodies concerned with urban development in the region.</w:t>
      </w:r>
    </w:p>
    <w:bookmarkEnd w:id="26"/>
    <w:bookmarkStart w:id="27" w:name="risk-mitigation-strategies"/>
    <w:p>
      <w:pPr>
        <w:pStyle w:val="Heading4"/>
      </w:pPr>
      <w:r>
        <w:t xml:space="preserve">Risk Mitigation Strategies</w:t>
      </w:r>
    </w:p>
    <w:p>
      <w:pPr>
        <w:pStyle w:val="FirstParagraph"/>
      </w:pPr>
      <w:r>
        <w:br/>
      </w:r>
    </w:p>
    <w:p>
      <w:pPr>
        <w:numPr>
          <w:ilvl w:val="0"/>
          <w:numId w:val="1004"/>
        </w:numPr>
        <w:pStyle w:val="Compact"/>
      </w:pPr>
      <w:r>
        <w:t xml:space="preserve">Implementing strict regulations on groundwater extraction in high-risk zones.</w:t>
      </w:r>
    </w:p>
    <w:p>
      <w:pPr>
        <w:numPr>
          <w:ilvl w:val="0"/>
          <w:numId w:val="1004"/>
        </w:numPr>
        <w:pStyle w:val="Compact"/>
      </w:pPr>
      <w:r>
        <w:t xml:space="preserve">Diversifying water sources to reduce pressure on geological aquifers.</w:t>
      </w:r>
    </w:p>
    <w:bookmarkEnd w:id="27"/>
    <w:p>
      <w:pPr>
        <w:pStyle w:val="FirstParagraph"/>
      </w:pPr>
      <w:r>
        <w:br/>
      </w:r>
    </w:p>
    <w:bookmarkStart w:id="28" w:name="sustainable-infrastructure-design"/>
    <w:p>
      <w:pPr>
        <w:pStyle w:val="Heading4"/>
      </w:pPr>
      <w:r>
        <w:t xml:space="preserve">Sustainable Infrastructure Design</w:t>
      </w:r>
    </w:p>
    <w:p>
      <w:pPr>
        <w:pStyle w:val="FirstParagraph"/>
      </w:pPr>
      <w:r>
        <w:br/>
      </w:r>
    </w:p>
    <w:p>
      <w:pPr>
        <w:numPr>
          <w:ilvl w:val="0"/>
          <w:numId w:val="1005"/>
        </w:numPr>
        <w:pStyle w:val="Compact"/>
      </w:pPr>
      <w:r>
        <w:t xml:space="preserve">Utilizing deep foundation piles that reach stable bedrock layers to prevent settling.</w:t>
      </w:r>
    </w:p>
    <w:p>
      <w:pPr>
        <w:numPr>
          <w:ilvl w:val="0"/>
          <w:numId w:val="1005"/>
        </w:numPr>
        <w:pStyle w:val="Compact"/>
      </w:pPr>
      <w:r>
        <w:t xml:space="preserve">Incorporating permeable surfaces to enhance natural water absorption and reduce runoff.</w:t>
      </w:r>
    </w:p>
    <w:bookmarkEnd w:id="28"/>
    <w:p>
      <w:pPr>
        <w:pStyle w:val="FirstParagraph"/>
      </w:pPr>
      <w:r>
        <w:br/>
      </w:r>
    </w:p>
    <w:bookmarkStart w:id="29" w:name="community-engagement"/>
    <w:p>
      <w:pPr>
        <w:pStyle w:val="Heading4"/>
      </w:pPr>
      <w:r>
        <w:t xml:space="preserve">Community Engagement</w:t>
      </w:r>
    </w:p>
    <w:p>
      <w:pPr>
        <w:pStyle w:val="FirstParagraph"/>
      </w:pPr>
      <w:r>
        <w:br/>
      </w:r>
    </w:p>
    <w:p>
      <w:pPr>
        <w:numPr>
          <w:ilvl w:val="0"/>
          <w:numId w:val="1006"/>
        </w:numPr>
        <w:pStyle w:val="Compact"/>
      </w:pPr>
      <w:r>
        <w:t xml:space="preserve">Educating local communities on the geological vulnerabilities of their neighborhoods.</w:t>
      </w:r>
    </w:p>
    <w:p>
      <w:pPr>
        <w:numPr>
          <w:ilvl w:val="0"/>
          <w:numId w:val="1006"/>
        </w:numPr>
        <w:pStyle w:val="Compact"/>
      </w:pPr>
      <w:r>
        <w:t xml:space="preserve">Fostering a culture of environmental stewardship in</w:t>
      </w:r>
      <w:r>
        <w:t xml:space="preserve"> </w:t>
      </w:r>
      <w:r>
        <w:rPr>
          <w:bCs/>
          <w:b/>
        </w:rPr>
        <w:t xml:space="preserve">Thailand Bangkok</w:t>
      </w:r>
      <w:r>
        <w:t xml:space="preserve">.</w:t>
      </w:r>
    </w:p>
    <w:bookmarkEnd w:id="29"/>
    <w:p>
      <w:pPr>
        <w:pStyle w:val="FirstParagraph"/>
      </w:pPr>
      <w:r>
        <w:br/>
      </w:r>
    </w:p>
    <w:bookmarkStart w:id="30" w:name="Xe15c806cea532a55ebb2c3e6cd80ef86d58bb4c"/>
    <w:p>
      <w:pPr>
        <w:pStyle w:val="Heading3"/>
      </w:pPr>
      <w:r>
        <w:t xml:space="preserve">Conclusion: The Future of Geology in Urban Planning</w:t>
      </w:r>
    </w:p>
    <w:p>
      <w:pPr>
        <w:pStyle w:val="FirstParagraph"/>
      </w:pPr>
      <w:r>
        <w:br/>
      </w:r>
    </w:p>
    <w:p>
      <w:pPr>
        <w:pStyle w:val="BodyText"/>
      </w:pPr>
      <w:r>
        <w:t xml:space="preserve">In conclusion, this</w:t>
      </w:r>
      <w:r>
        <w:t xml:space="preserve"> </w:t>
      </w:r>
      <w:r>
        <w:rPr>
          <w:bCs/>
          <w:b/>
        </w:rPr>
        <w:t xml:space="preserve">Geologist</w:t>
      </w:r>
      <w:r>
        <w:t xml:space="preserve">-led study underscores the critical importance of integrating geological science into urban planning paradigms. The case of</w:t>
      </w:r>
      <w:r>
        <w:t xml:space="preserve"> </w:t>
      </w:r>
      <w:r>
        <w:rPr>
          <w:bCs/>
          <w:b/>
        </w:rPr>
        <w:t xml:space="preserve">Thailand Bangkok</w:t>
      </w:r>
      <w:r>
        <w:t xml:space="preserve"> </w:t>
      </w:r>
      <w:r>
        <w:t xml:space="preserve">is not merely local; it is a global benchmark for understanding how deltaic cities must adapt to environmental changes. By respecting the ancient geological foundations upon which this city rests, we can build a resilient future. This poster presentation serves as both an academic contribution and a practical guide for engineers, policymakers, and fellow scientists. We urge stakeholders to prioritize subsurface data in all development projects within</w:t>
      </w:r>
      <w:r>
        <w:t xml:space="preserve"> </w:t>
      </w:r>
      <w:r>
        <w:rPr>
          <w:bCs/>
          <w:b/>
        </w:rPr>
        <w:t xml:space="preserve">Thailand Bangkok</w:t>
      </w:r>
      <w:r>
        <w:t xml:space="preserve">, ensuring that progress does not come at the cost of geological stability.</w:t>
      </w:r>
    </w:p>
    <w:bookmarkEnd w:id="30"/>
    <w:p>
      <w:pPr>
        <w:pStyle w:val="BodyText"/>
      </w:pPr>
      <w:r>
        <w:t xml:space="preserve">© 2024 International Academic Research Group. All Rights Reserved. Contact for collaboration inquiries.</w:t>
      </w:r>
    </w:p>
    <w:p>
      <w:pPr>
        <w:pStyle w:val="BodyText"/>
      </w:pPr>
      <w:r>
        <w:br/>
      </w:r>
    </w:p>
    <w:p>
      <w:pPr>
        <w:pStyle w:val="BodyText"/>
      </w:pPr>
      <w:r>
        <w:t xml:space="preserve">Prepared for the Academic Symposium on Earth Sciences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Heritage and Urban Resilience: A Geologist’s Perspective on Thailand Bangkok</dc:title>
  <dc:creator/>
  <dc:language>en</dc:language>
  <cp:keywords/>
  <dcterms:created xsi:type="dcterms:W3CDTF">2026-07-29T14:04:35Z</dcterms:created>
  <dcterms:modified xsi:type="dcterms:W3CDTF">2026-07-29T14:04:35Z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