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Graphic</w:t>
      </w:r>
      <w:r>
        <w:t xml:space="preserve"> </w:t>
      </w:r>
      <w:r>
        <w:t xml:space="preserve">Design</w:t>
      </w:r>
      <w:r>
        <w:t xml:space="preserve"> </w:t>
      </w:r>
      <w:r>
        <w:t xml:space="preserve">in</w:t>
      </w:r>
      <w:r>
        <w:t xml:space="preserve"> </w:t>
      </w:r>
      <w:r>
        <w:t xml:space="preserve">Dhaka</w:t>
      </w:r>
    </w:p>
    <w:p>
      <w:pPr>
        <w:pStyle w:val="FirstParagraph"/>
      </w:pPr>
      <w:r>
        <w:t xml:space="preserve">--&gt;</w:t>
      </w:r>
    </w:p>
    <w:p>
      <w:pPr>
        <w:pStyle w:val="BodyText"/>
      </w:pPr>
      <w:r>
        <w:t xml:space="preserve">--!&gt;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The Evolving Role of Graphic Design in Dhaka</dc:title>
  <dc:creator/>
  <dc:language>en</dc:language>
  <cp:keywords/>
  <dcterms:created xsi:type="dcterms:W3CDTF">2026-09-27T23:22:27Z</dcterms:created>
  <dcterms:modified xsi:type="dcterms:W3CDTF">2026-09-27T23:22:27Z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