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Ghana</w:t>
      </w:r>
      <w:r>
        <w:t xml:space="preserve"> </w:t>
      </w:r>
      <w:r>
        <w:t xml:space="preserve">Accra</w:t>
      </w:r>
    </w:p>
    <w:bookmarkStart w:id="20" w:name="X0343d504cae9cd7ae520ed4285f5f1a1237b5d5"/>
    <w:p>
      <w:pPr>
        <w:pStyle w:val="Heading1"/>
      </w:pPr>
      <w:r>
        <w:t xml:space="preserve">The Strategic Graphic Designer in Ghana Accra</w:t>
      </w:r>
    </w:p>
    <w:p>
      <w:pPr>
        <w:pStyle w:val="FirstParagraph"/>
      </w:pPr>
      <w:r>
        <w:br/>
      </w:r>
    </w:p>
    <w:p>
      <w:pPr>
        <w:pStyle w:val="BodyText"/>
      </w:pPr>
      <w:r>
        <w:t xml:space="preserve">Bridging Tradition, Technology, and Urban Identity</w:t>
      </w:r>
      <w:r>
        <w:br/>
      </w:r>
      <w:r>
        <w:t xml:space="preserve">Academic Poster Presentation 2023-2024</w:t>
      </w:r>
    </w:p>
    <w:bookmarkEnd w:id="20"/>
    <w:bookmarkStart w:id="21" w:name="Xd68cafbbe6729c0ac7e247c86f756bd72c8c986"/>
    <w:p>
      <w:pPr>
        <w:pStyle w:val="Heading3"/>
      </w:pPr>
      <w:r>
        <w:t xml:space="preserve">2. Research Objectives</w:t>
      </w:r>
    </w:p>
    <w:p>
      <w:pPr>
        <w:numPr>
          <w:ilvl w:val="0"/>
          <w:numId w:val="1001"/>
        </w:numPr>
        <w:pStyle w:val="Compact"/>
      </w:pPr>
      <w:r>
        <w:t xml:space="preserve">To analyze the impact of digital transformation on graphic design practices in Accra.</w:t>
      </w:r>
    </w:p>
    <w:p>
      <w:pPr>
        <w:numPr>
          <w:ilvl w:val="0"/>
          <w:numId w:val="1001"/>
        </w:numPr>
        <w:pStyle w:val="Compact"/>
      </w:pPr>
      <w:r>
        <w:t xml:space="preserve">To evaluate how local designers integrate Adinkra symbols and Ewe Kente patterns into modern branding.</w:t>
      </w:r>
    </w:p>
    <w:p>
      <w:pPr>
        <w:numPr>
          <w:ilvl w:val="0"/>
          <w:numId w:val="1001"/>
        </w:numPr>
        <w:pStyle w:val="Compact"/>
      </w:pPr>
      <w:r>
        <w:t xml:space="preserve">To assess the economic contribution of visual communication to Accra’s growing creative industry.</w:t>
      </w:r>
    </w:p>
    <w:bookmarkEnd w:id="21"/>
    <w:bookmarkStart w:id="22" w:name="met-heading"/>
    <w:p>
      <w:pPr>
        <w:pStyle w:val="Heading3"/>
      </w:pPr>
      <w:r>
        <w:t xml:space="preserve">3. Methodology</w:t>
      </w:r>
    </w:p>
    <w:p>
      <w:pPr>
        <w:pStyle w:val="FirstParagraph"/>
      </w:pPr>
      <w:r>
        <w:t xml:space="preserve">This academic study utilizes a mixed-methods approach, including:</w:t>
      </w:r>
    </w:p>
    <w:p>
      <w:pPr>
        <w:numPr>
          <w:ilvl w:val="0"/>
          <w:numId w:val="1002"/>
        </w:numPr>
        <w:pStyle w:val="Compact"/>
      </w:pPr>
      <w:r>
        <w:rPr>
          <w:bCs/>
          <w:b/>
        </w:rPr>
        <w:t xml:space="preserve">Semi-structured interviews</w:t>
      </w:r>
    </w:p>
    <w:p>
      <w:pPr>
        <w:numPr>
          <w:ilvl w:val="0"/>
          <w:numId w:val="1002"/>
        </w:numPr>
        <w:pStyle w:val="Compact"/>
      </w:pPr>
      <w:r>
        <w:rPr>
          <w:bCs/>
          <w:b/>
        </w:rPr>
        <w:t xml:space="preserve">Cross-sectional case studies</w:t>
      </w:r>
    </w:p>
    <w:bookmarkEnd w:id="22"/>
    <w:bookmarkStart w:id="23" w:name="X4fe289a0bc4dc837cf4b4768d5323ac892fe636"/>
    <w:p>
      <w:pPr>
        <w:pStyle w:val="Heading3"/>
      </w:pPr>
    </w:p>
    <w:bookmarkEnd w:id="23"/>
    <w:bookmarkStart w:id="24" w:name="X7ea2f24f27235143addd00949576262d6358d40"/>
    <w:p>
      <w:pPr>
        <w:pStyle w:val="Heading3"/>
      </w:pPr>
    </w:p>
    <w:p>
      <w:pPr>
        <w:pStyle w:val="FirstParagraph"/>
      </w:pPr>
      <w:r>
        <w:rPr>
          <w:bCs/>
          <w:b/>
        </w:rPr>
        <w:t xml:space="preserve">The Rise of the Freelance Economy:</w:t>
      </w:r>
    </w:p>
    <w:p>
      <w:pPr>
        <w:pStyle w:val="BodyText"/>
      </w:pPr>
      <w:r>
        <w:t xml:space="preserve">Unlike many Western markets dominated by large agencies, the design sector in</w:t>
      </w:r>
      <w:r>
        <w:t xml:space="preserve"> </w:t>
      </w:r>
      <w:r>
        <w:rPr>
          <w:bCs/>
          <w:b/>
        </w:rPr>
        <w:t xml:space="preserve">Ghana Accra</w:t>
      </w:r>
      <w:r>
        <w:t xml:space="preserve"> </w:t>
      </w:r>
      <w:r>
        <w:t xml:space="preserve">is increasingly characterized by a robust freelance ecosystem. Many young graduates operate as solopreneurs, leveraging platforms like Instagram and LinkedIn to showcase portfolios. This decentralization allows for greater agility but also poses challenges regarding intellectual property protection and standardized pricing.</w:t>
      </w:r>
    </w:p>
    <w:p>
      <w:pPr>
        <w:pStyle w:val="BodyText"/>
      </w:pPr>
      <w:r>
        <w:rPr>
          <w:bCs/>
          <w:b/>
        </w:rPr>
        <w:t xml:space="preserve">Digital Literacy Gaps:</w:t>
      </w:r>
    </w:p>
    <w:p>
      <w:pPr>
        <w:pStyle w:val="BodyText"/>
      </w:pPr>
      <w:r>
        <w:t xml:space="preserve">While the demand for digital design skills is high, there remains a gap in technical infrastructure. Intermittent power supply and expensive software licenses hinder some designers. However, this has spurred innovation, with many adopting open-source alternatives (like GIMP or Inkscape) and cloud-based solutions.</w:t>
      </w:r>
    </w:p>
    <w:bookmarkEnd w:id="24"/>
    <w:bookmarkStart w:id="25" w:name="X921c7e935f3ac1fb4a6380b59b8f626eef68c2b"/>
    <w:p>
      <w:pPr>
        <w:pStyle w:val="Heading3"/>
      </w:pPr>
    </w:p>
    <w:p>
      <w:pPr>
        <w:pStyle w:val="FirstParagraph"/>
      </w:pPr>
      <w:r>
        <w:rPr>
          <w:bCs/>
          <w:b/>
        </w:rPr>
        <w:t xml:space="preserve">Acknowledgements:</w:t>
      </w:r>
    </w:p>
    <w:p>
      <w:pPr>
        <w:pStyle w:val="BodyText"/>
      </w:pPr>
      <w:r>
        <w:t xml:space="preserve">This presentation was supported by the Accra Metropolitan Assembly’s Creative Industries Fund.</w:t>
      </w:r>
    </w:p>
    <w:p>
      <w:pPr>
        <w:pStyle w:val="BodyText"/>
      </w:pPr>
      <w:r>
        <w:rPr>
          <w:bCs/>
          <w:b/>
        </w:rPr>
        <w:t xml:space="preserve">Contact:</w:t>
      </w:r>
      <w:r>
        <w:br/>
      </w:r>
      <w:r>
        <w:t xml:space="preserve">Dr. Ama Mensah</w:t>
      </w:r>
      <w:r>
        <w:br/>
      </w:r>
      <w:r>
        <w:t xml:space="preserve">Department of Visual Arts</w:t>
      </w:r>
      <w:r>
        <w:br/>
      </w:r>
      <w:r>
        <w:t xml:space="preserve">University of Ghana, Legon</w:t>
      </w:r>
    </w:p>
    <w:p>
      <w:pPr>
        <w:pStyle w:val="BodyText"/>
      </w:pPr>
      <w:r>
        <w:rPr>
          <w:bCs/>
          <w:b/>
        </w:rPr>
        <w:t xml:space="preserve">Selected References:</w:t>
      </w:r>
    </w:p>
    <w:p>
      <w:pPr>
        <w:numPr>
          <w:ilvl w:val="0"/>
          <w:numId w:val="1003"/>
        </w:numPr>
        <w:pStyle w:val="Compact"/>
      </w:pPr>
      <w:r>
        <w:t xml:space="preserve">Mensah, A. (2022). *Visual Culture in Post-Colonial Accra*. Journal of African Design Studies.</w:t>
      </w:r>
    </w:p>
    <w:p>
      <w:pPr>
        <w:numPr>
          <w:ilvl w:val="0"/>
          <w:numId w:val="1003"/>
        </w:numPr>
        <w:pStyle w:val="Compact"/>
      </w:pPr>
      <w:r>
        <w:t xml:space="preserve">Osei-Kyei, R., &amp; Asamoah, K. (2021). *Digital Transformation in Ghana’s Creative Sector*. Accra: University Press.</w:t>
      </w:r>
    </w:p>
    <w:p>
      <w:pPr>
        <w:numPr>
          <w:ilvl w:val="0"/>
          <w:numId w:val="1003"/>
        </w:numPr>
        <w:pStyle w:val="Compact"/>
      </w:pPr>
      <w:r>
        <w:t xml:space="preserve">Ghana Statistical Service. (2023). *Annual Report on the Digital Economy*. Accra: GSS.</w:t>
      </w:r>
    </w:p>
    <w:p>
      <w:pPr>
        <w:numPr>
          <w:ilvl w:val="0"/>
          <w:numId w:val="1003"/>
        </w:numPr>
        <w:pStyle w:val="Compact"/>
      </w:pPr>
      <w:r>
        <w:t xml:space="preserve">Tetteh, E. (2023). "Adinkra Symbols in Modern Branding." *Journal of Heritage Studies*, 14(2), 45-67.</w:t>
      </w:r>
    </w:p>
    <w:p>
      <w:pPr>
        <w:pStyle w:val="FirstParagraph"/>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Graphic Designer in Ghana Accra</dc:title>
  <dc:creator/>
  <dc:language>en</dc:language>
  <cp:keywords/>
  <dcterms:created xsi:type="dcterms:W3CDTF">2026-07-29T03:09:12Z</dcterms:created>
  <dcterms:modified xsi:type="dcterms:W3CDTF">2026-07-29T03:09:12Z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