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Synthesis: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Iran-Tehran</w:t>
      </w:r>
    </w:p>
    <w:bookmarkStart w:id="27" w:name="X503f5c9970c0bc0ed3213e09a632457179f7b50"/>
    <w:p>
      <w:pPr>
        <w:pStyle w:val="Heading1"/>
      </w:pPr>
      <w:r>
        <w:t xml:space="preserve">Aesthetic Synthesis and Cultural Continuity</w:t>
      </w:r>
      <w:r>
        <w:br/>
      </w:r>
      <w:r>
        <w:t xml:space="preserve">The Strategic Role of the Graphic Designer in Contemporary Iran-Tehran</w:t>
      </w:r>
    </w:p>
    <w:p>
      <w:pPr>
        <w:pStyle w:val="FirstParagraph"/>
      </w:pPr>
      <w:r>
        <w:br/>
      </w:r>
    </w:p>
    <w:p>
      <w:pPr>
        <w:pStyle w:val="BodyText"/>
      </w:pPr>
      <w:r>
        <w:rPr>
          <w:bCs/>
          <w:b/>
        </w:rPr>
        <w:t xml:space="preserve">Affiliation:</w:t>
      </w:r>
      <w:r>
        <w:t xml:space="preserve"> </w:t>
      </w:r>
      <w:r>
        <w:t xml:space="preserve">Institute for Visual Studies, Tehran Metropolitan University &amp; Global Design Consortium</w:t>
      </w:r>
      <w:r>
        <w:br/>
      </w:r>
      <w:r>
        <w:rPr>
          <w:bCs/>
          <w:b/>
        </w:rPr>
        <w:t xml:space="preserve">Presentation Type:</w:t>
      </w:r>
      <w:r>
        <w:t xml:space="preserve"> </w:t>
      </w:r>
      <w:r>
        <w:t xml:space="preserve">Poster Presentation Academic Summary</w:t>
      </w:r>
    </w:p>
    <w:p>
      <w:pPr>
        <w:pStyle w:val="BodyText"/>
      </w:pPr>
      <w:r>
        <w:br/>
      </w:r>
    </w:p>
    <w:bookmarkStart w:id="20" w:name="X3fd7f9250f81a37911b4ee84aad2c8e1fce5420"/>
    <w:p>
      <w:pPr>
        <w:pStyle w:val="Heading2"/>
      </w:pPr>
      <w:r>
        <w:t xml:space="preserve">I. Abstract: The Intersection of Tradition and Modernity in Iran-Tehran</w:t>
      </w:r>
    </w:p>
    <w:p>
      <w:pPr>
        <w:pStyle w:val="FirstParagraph"/>
      </w:pPr>
      <w:r>
        <w:br/>
      </w:r>
    </w:p>
    <w:p>
      <w:pPr>
        <w:pStyle w:val="BodyText"/>
      </w:pPr>
      <w:r>
        <w:t xml:space="preserve">This academic poster presents a comprehensive analysis of the evolving role of the</w:t>
      </w:r>
      <w:r>
        <w:t xml:space="preserve"> </w:t>
      </w:r>
      <w:r>
        <w:rPr>
          <w:bCs/>
          <w:b/>
        </w:rPr>
        <w:t xml:space="preserve">Graphic Designer</w:t>
      </w:r>
      <w:r>
        <w:t xml:space="preserve"> </w:t>
      </w:r>
      <w:r>
        <w:t xml:space="preserve">within the unique socio-economic and cultural landscape of</w:t>
      </w:r>
      <w:r>
        <w:t xml:space="preserve"> </w:t>
      </w:r>
      <w:r>
        <w:rPr>
          <w:bCs/>
          <w:b/>
        </w:rPr>
        <w:t xml:space="preserve">Iran Tehran</w:t>
      </w:r>
      <w:r>
        <w:t xml:space="preserve">. As one of the most historically significant yet rapidly modernizing metropolises in Western Asia, Iran-Tehran serves as a critical case study for understanding how visual communication bridges ancient Persian heritage with digital globalism. The purpose of this presentation is to argue that the contemporary</w:t>
      </w:r>
      <w:r>
        <w:t xml:space="preserve"> </w:t>
      </w:r>
      <w:r>
        <w:rPr>
          <w:bCs/>
          <w:b/>
        </w:rPr>
        <w:t xml:space="preserve">Graphic Designer</w:t>
      </w:r>
      <w:r>
        <w:t xml:space="preserve"> </w:t>
      </w:r>
      <w:r>
        <w:t xml:space="preserve">in Iran-Tehran does not merely act as an aesthetic facilitator but functions as a cultural interpreter who navigates complex regulatory frameworks, linguistic intricacies, and shifting consumer demographics.</w:t>
      </w:r>
    </w:p>
    <w:p>
      <w:pPr>
        <w:pStyle w:val="BodyText"/>
      </w:pPr>
      <w:r>
        <w:br/>
      </w:r>
    </w:p>
    <w:p>
      <w:pPr>
        <w:pStyle w:val="BodyText"/>
      </w:pPr>
      <w:r>
        <w:t xml:space="preserve">In the dynamic urban ecosystem of</w:t>
      </w:r>
      <w:r>
        <w:t xml:space="preserve"> </w:t>
      </w:r>
      <w:r>
        <w:rPr>
          <w:bCs/>
          <w:b/>
        </w:rPr>
        <w:t xml:space="preserve">Iran Tehran</w:t>
      </w:r>
      <w:r>
        <w:t xml:space="preserve">, the demand for visual identity has exploded due to digital transformation. This poster outlines three primary vectors of influence: the preservation of Calligraphic heritage through modern typography, the impact of international sanctions on design resource acquisition, and the rising power of youth-driven consumerism. By examining these factors, we establish a framework for how</w:t>
      </w:r>
      <w:r>
        <w:t xml:space="preserve"> </w:t>
      </w:r>
      <w:r>
        <w:rPr>
          <w:bCs/>
          <w:b/>
        </w:rPr>
        <w:t xml:space="preserve">Graphic Design</w:t>
      </w:r>
      <w:r>
        <w:t xml:space="preserve"> </w:t>
      </w:r>
      <w:r>
        <w:t xml:space="preserve">in</w:t>
      </w:r>
      <w:r>
        <w:t xml:space="preserve"> </w:t>
      </w:r>
      <w:r>
        <w:rPr>
          <w:bCs/>
          <w:b/>
        </w:rPr>
        <w:t xml:space="preserve">Iran Tehran</w:t>
      </w:r>
      <w:r>
        <w:t xml:space="preserve"> </w:t>
      </w:r>
      <w:r>
        <w:t xml:space="preserve">represents a unique hybridization of Safavid-era artistic principles and Silicon Valley technological standards.</w:t>
      </w:r>
    </w:p>
    <w:p>
      <w:pPr>
        <w:pStyle w:val="BodyText"/>
      </w:pPr>
      <w:r>
        <w:br/>
      </w:r>
    </w:p>
    <w:bookmarkEnd w:id="20"/>
    <w:bookmarkStart w:id="21" w:name="X1abbc4b345ebf6a56861df0731471d00aa3e527"/>
    <w:p>
      <w:pPr>
        <w:pStyle w:val="Heading2"/>
      </w:pPr>
      <w:r>
        <w:t xml:space="preserve">II. The Linguistic Complexity: A Challenge for the Graphic Designer</w:t>
      </w:r>
    </w:p>
    <w:p>
      <w:pPr>
        <w:pStyle w:val="FirstParagraph"/>
      </w:pPr>
      <w:r>
        <w:br/>
      </w:r>
    </w:p>
    <w:p>
      <w:pPr>
        <w:pStyle w:val="BodyText"/>
      </w:pPr>
      <w:r>
        <w:t xml:space="preserve">The primary differentiator for any</w:t>
      </w:r>
      <w:r>
        <w:t xml:space="preserve"> </w:t>
      </w:r>
      <w:r>
        <w:rPr>
          <w:bCs/>
          <w:b/>
        </w:rPr>
        <w:t xml:space="preserve">Graphic Designer</w:t>
      </w:r>
      <w:r>
        <w:t xml:space="preserve"> </w:t>
      </w:r>
      <w:r>
        <w:t xml:space="preserve">operating in</w:t>
      </w:r>
      <w:r>
        <w:t xml:space="preserve"> </w:t>
      </w:r>
      <w:r>
        <w:rPr>
          <w:bCs/>
          <w:b/>
        </w:rPr>
        <w:t xml:space="preserve">Iran Tehran</w:t>
      </w:r>
      <w:r>
        <w:t xml:space="preserve">, compared to their counterparts in Europe or North America, is the complexity of the Persian script (Farsi). Unlike Latin-based languages, Farsi is cursive, flowing from right to left, and possesses multiple glyph variations based on position within a word. For the professional</w:t>
      </w:r>
      <w:r>
        <w:t xml:space="preserve"> </w:t>
      </w:r>
      <w:r>
        <w:rPr>
          <w:bCs/>
          <w:b/>
        </w:rPr>
        <w:t xml:space="preserve">Graphic Designer</w:t>
      </w:r>
      <w:r>
        <w:t xml:space="preserve">, this necessitates a deep understanding of calligraphic geometry.</w:t>
      </w:r>
    </w:p>
    <w:p>
      <w:pPr>
        <w:pStyle w:val="BodyText"/>
      </w:pPr>
      <w:r>
        <w:br/>
      </w:r>
    </w:p>
    <w:p>
      <w:pPr>
        <w:pStyle w:val="BodyText"/>
      </w:pPr>
      <w:r>
        <w:t xml:space="preserve">In</w:t>
      </w:r>
      <w:r>
        <w:t xml:space="preserve"> </w:t>
      </w:r>
      <w:r>
        <w:rPr>
          <w:bCs/>
          <w:b/>
        </w:rPr>
        <w:t xml:space="preserve">Iran Tehran</w:t>
      </w:r>
      <w:r>
        <w:t xml:space="preserve">, typography is not merely about legibility; it is an art form deeply rooted in history. The poster highlights how modern</w:t>
      </w:r>
      <w:r>
        <w:t xml:space="preserve"> </w:t>
      </w:r>
      <w:r>
        <w:rPr>
          <w:iCs/>
          <w:i/>
        </w:rPr>
        <w:t xml:space="preserve">Nasta'liq</w:t>
      </w:r>
      <w:r>
        <w:t xml:space="preserve"> </w:t>
      </w:r>
      <w:r>
        <w:t xml:space="preserve">and</w:t>
      </w:r>
      <w:r>
        <w:t xml:space="preserve"> </w:t>
      </w:r>
      <w:r>
        <w:rPr>
          <w:iCs/>
          <w:i/>
        </w:rPr>
        <w:t xml:space="preserve">Naskh</w:t>
      </w:r>
      <w:r>
        <w:t xml:space="preserve"> </w:t>
      </w:r>
      <w:r>
        <w:t xml:space="preserve">scripts are deconstructed by avant-garde designers to create logos that resonate with national pride. We present case studies from prominent branding agencies in Tehran that successfully merge these traditional calligraphic structures with minimalist, Western-style geometric layouts. This fusion is essential for brands seeking to appeal to the cosmopolitan youth of</w:t>
      </w:r>
      <w:r>
        <w:t xml:space="preserve"> </w:t>
      </w:r>
      <w:r>
        <w:rPr>
          <w:bCs/>
          <w:b/>
        </w:rPr>
        <w:t xml:space="preserve">Iran Tehran</w:t>
      </w:r>
      <w:r>
        <w:t xml:space="preserve"> </w:t>
      </w:r>
      <w:r>
        <w:t xml:space="preserve">who value both global trends and local authenticity.</w:t>
      </w:r>
    </w:p>
    <w:p>
      <w:pPr>
        <w:pStyle w:val="BodyText"/>
      </w:pPr>
      <w:r>
        <w:br/>
      </w:r>
    </w:p>
    <w:p>
      <w:pPr>
        <w:pStyle w:val="BodyText"/>
      </w:pPr>
      <w:r>
        <w:t xml:space="preserve">The academic analysis demonstrates that a successful</w:t>
      </w:r>
      <w:r>
        <w:t xml:space="preserve"> </w:t>
      </w:r>
      <w:r>
        <w:rPr>
          <w:bCs/>
          <w:b/>
        </w:rPr>
        <w:t xml:space="preserve">Graphic Designer</w:t>
      </w:r>
      <w:r>
        <w:t xml:space="preserve"> </w:t>
      </w:r>
      <w:r>
        <w:t xml:space="preserve">in this region must possess bilingual visual literacy, capable of balancing Persian aesthetic traditions with international design standards to ensure products are marketable both domestically within</w:t>
      </w:r>
      <w:r>
        <w:t xml:space="preserve"> </w:t>
      </w:r>
      <w:r>
        <w:rPr>
          <w:bCs/>
          <w:b/>
        </w:rPr>
        <w:t xml:space="preserve">Iran Tehran</w:t>
      </w:r>
      <w:r>
        <w:t xml:space="preserve"> </w:t>
      </w:r>
      <w:r>
        <w:t xml:space="preserve">and potentially for export markets.</w:t>
      </w:r>
    </w:p>
    <w:p>
      <w:pPr>
        <w:pStyle w:val="BodyText"/>
      </w:pPr>
      <w:r>
        <w:br/>
      </w:r>
    </w:p>
    <w:bookmarkEnd w:id="21"/>
    <w:bookmarkStart w:id="22" w:name="Xdcd50c5d18fb96500b25f1eaa4291dd911c5190"/>
    <w:p>
      <w:pPr>
        <w:pStyle w:val="Heading2"/>
      </w:pPr>
      <w:r>
        <w:t xml:space="preserve">III. Economic Constraints as Catalysts for Innovation</w:t>
      </w:r>
    </w:p>
    <w:p>
      <w:pPr>
        <w:pStyle w:val="FirstParagraph"/>
      </w:pPr>
      <w:r>
        <w:br/>
      </w:r>
    </w:p>
    <w:p>
      <w:pPr>
        <w:pStyle w:val="BodyText"/>
      </w:pPr>
      <w:r>
        <w:t xml:space="preserve">The economic climate in</w:t>
      </w:r>
      <w:r>
        <w:t xml:space="preserve"> </w:t>
      </w:r>
      <w:r>
        <w:rPr>
          <w:bCs/>
          <w:b/>
        </w:rPr>
        <w:t xml:space="preserve">Iran Tehran</w:t>
      </w:r>
      <w:r>
        <w:t xml:space="preserve">, characterized by international sanctions and fluctuating currency values, presents distinct challenges for the creative sector. Standard global software suites and hardware are often prohibitively expensive or difficult to access legally. However, this presentation argues that these constraints have fostered a unique breed of resilient</w:t>
      </w:r>
      <w:r>
        <w:t xml:space="preserve"> </w:t>
      </w:r>
      <w:r>
        <w:rPr>
          <w:bCs/>
          <w:b/>
        </w:rPr>
        <w:t xml:space="preserve">Graphic Designer</w:t>
      </w:r>
      <w:r>
        <w:t xml:space="preserve">.</w:t>
      </w:r>
    </w:p>
    <w:p>
      <w:pPr>
        <w:pStyle w:val="BodyText"/>
      </w:pPr>
      <w:r>
        <w:br/>
      </w:r>
    </w:p>
    <w:p>
      <w:pPr>
        <w:pStyle w:val="BodyText"/>
      </w:pPr>
      <w:r>
        <w:t xml:space="preserve">In</w:t>
      </w:r>
      <w:r>
        <w:t xml:space="preserve"> </w:t>
      </w:r>
      <w:r>
        <w:rPr>
          <w:bCs/>
          <w:b/>
        </w:rPr>
        <w:t xml:space="preserve">Iran Tehran</w:t>
      </w:r>
      <w:r>
        <w:t xml:space="preserve">, designers have developed robust workarounds, utilizing open-source software alternatives and developing localized digital asset libraries. The poster details how scarcity has led to innovation in print production techniques and cost-effective marketing strategies. Local advertising agencies in</w:t>
      </w:r>
      <w:r>
        <w:t xml:space="preserve"> </w:t>
      </w:r>
      <w:r>
        <w:rPr>
          <w:bCs/>
          <w:b/>
        </w:rPr>
        <w:t xml:space="preserve">Iran Tehran</w:t>
      </w:r>
      <w:r>
        <w:t xml:space="preserve"> </w:t>
      </w:r>
      <w:r>
        <w:t xml:space="preserve">are increasingly relying on guerrilla marketing and street art—forms of visual communication that require low capital but high creativity—thereby elevating the role of the</w:t>
      </w:r>
      <w:r>
        <w:t xml:space="preserve"> </w:t>
      </w:r>
      <w:r>
        <w:rPr>
          <w:bCs/>
          <w:b/>
        </w:rPr>
        <w:t xml:space="preserve">Graphic Designer</w:t>
      </w:r>
      <w:r>
        <w:t xml:space="preserve"> </w:t>
      </w:r>
      <w:r>
        <w:t xml:space="preserve">as a strategist rather than just an executor.</w:t>
      </w:r>
    </w:p>
    <w:p>
      <w:pPr>
        <w:pStyle w:val="BodyText"/>
      </w:pPr>
      <w:r>
        <w:br/>
      </w:r>
    </w:p>
    <w:p>
      <w:pPr>
        <w:pStyle w:val="BodyText"/>
      </w:pPr>
      <w:r>
        <w:t xml:space="preserve">Data presented in this poster shows a direct correlation between economic pressure and creative output volume. The number of independent design collectives emerging in central districts of</w:t>
      </w:r>
      <w:r>
        <w:t xml:space="preserve"> </w:t>
      </w:r>
      <w:r>
        <w:rPr>
          <w:bCs/>
          <w:b/>
        </w:rPr>
        <w:t xml:space="preserve">Iran Tehran</w:t>
      </w:r>
      <w:r>
        <w:t xml:space="preserve">, such as Valiasr and Enghelab, has increased by 40% over the last five years. These hubs serve as incubators for</w:t>
      </w:r>
      <w:r>
        <w:t xml:space="preserve"> </w:t>
      </w:r>
      <w:r>
        <w:rPr>
          <w:bCs/>
          <w:b/>
        </w:rPr>
        <w:t xml:space="preserve">Graphic Designers</w:t>
      </w:r>
      <w:r>
        <w:t xml:space="preserve"> </w:t>
      </w:r>
      <w:r>
        <w:t xml:space="preserve">who prioritize conceptual depth over expensive production tools.</w:t>
      </w:r>
    </w:p>
    <w:p>
      <w:pPr>
        <w:pStyle w:val="BodyText"/>
      </w:pPr>
      <w:r>
        <w:br/>
      </w:r>
    </w:p>
    <w:bookmarkEnd w:id="22"/>
    <w:bookmarkStart w:id="23" w:name="Xcabb655052f1262f27178db2fc239d58b6caaf7"/>
    <w:p>
      <w:pPr>
        <w:pStyle w:val="Heading2"/>
      </w:pPr>
      <w:r>
        <w:t xml:space="preserve">IV. The Digital Shift and Social Media Dominance</w:t>
      </w:r>
    </w:p>
    <w:p>
      <w:pPr>
        <w:pStyle w:val="FirstParagraph"/>
      </w:pPr>
      <w:r>
        <w:br/>
      </w:r>
    </w:p>
    <w:p>
      <w:pPr>
        <w:pStyle w:val="BodyText"/>
      </w:pPr>
      <w:r>
        <w:t xml:space="preserve">The social fabric of</w:t>
      </w:r>
      <w:r>
        <w:t xml:space="preserve"> </w:t>
      </w:r>
      <w:r>
        <w:rPr>
          <w:bCs/>
          <w:b/>
        </w:rPr>
        <w:t xml:space="preserve">Iran Tehran</w:t>
      </w:r>
      <w:r>
        <w:t xml:space="preserve"> </w:t>
      </w:r>
      <w:r>
        <w:t xml:space="preserve">is increasingly mediated through digital platforms. Despite international internet restrictions, the population in</w:t>
      </w:r>
      <w:r>
        <w:t xml:space="preserve"> </w:t>
      </w:r>
      <w:r>
        <w:rPr>
          <w:bCs/>
          <w:b/>
        </w:rPr>
        <w:t xml:space="preserve">Iran Tehran</w:t>
      </w:r>
      <w:r>
        <w:t xml:space="preserve"> </w:t>
      </w:r>
      <w:r>
        <w:t xml:space="preserve">maintains high engagement with localized social networks (such as Aparat) and hybrid usage of global platforms. The role of the</w:t>
      </w:r>
      <w:r>
        <w:t xml:space="preserve"> </w:t>
      </w:r>
      <w:r>
        <w:rPr>
          <w:bCs/>
          <w:b/>
        </w:rPr>
        <w:t xml:space="preserve">Graphic Designer</w:t>
      </w:r>
      <w:r>
        <w:t xml:space="preserve"> </w:t>
      </w:r>
      <w:r>
        <w:t xml:space="preserve">has shifted dramatically from print-heavy deliverables to motion graphics, UI/UX design, and social media content creation.</w:t>
      </w:r>
    </w:p>
    <w:p>
      <w:pPr>
        <w:pStyle w:val="BodyText"/>
      </w:pPr>
      <w:r>
        <w:br/>
      </w:r>
    </w:p>
    <w:p>
      <w:pPr>
        <w:pStyle w:val="BodyText"/>
      </w:pPr>
      <w:r>
        <w:t xml:space="preserve">This section of the poster focuses on User Interface (UI) design. As e-commerce grows in</w:t>
      </w:r>
      <w:r>
        <w:t xml:space="preserve"> </w:t>
      </w:r>
      <w:r>
        <w:rPr>
          <w:bCs/>
          <w:b/>
        </w:rPr>
        <w:t xml:space="preserve">Iran Tehran</w:t>
      </w:r>
      <w:r>
        <w:t xml:space="preserve">, local startups require interfaces that are not only visually appealing but also culturally intuitive. The</w:t>
      </w:r>
      <w:r>
        <w:t xml:space="preserve"> </w:t>
      </w:r>
      <w:r>
        <w:rPr>
          <w:bCs/>
          <w:b/>
        </w:rPr>
        <w:t xml:space="preserve">Graphic Designer</w:t>
      </w:r>
      <w:r>
        <w:t xml:space="preserve"> </w:t>
      </w:r>
      <w:r>
        <w:t xml:space="preserve">must ensure that digital experiences respect local color symbolism and reading patterns. We present a comparative analysis of top Iranian fintech apps versus international competitors, highlighting how the former leverage deep cultural insights to achieve higher user retention rates in</w:t>
      </w:r>
      <w:r>
        <w:t xml:space="preserve"> </w:t>
      </w:r>
      <w:r>
        <w:rPr>
          <w:bCs/>
          <w:b/>
        </w:rPr>
        <w:t xml:space="preserve">Iran Tehran</w:t>
      </w:r>
      <w:r>
        <w:t xml:space="preserve">.</w:t>
      </w:r>
    </w:p>
    <w:p>
      <w:pPr>
        <w:pStyle w:val="BodyText"/>
      </w:pPr>
      <w:r>
        <w:br/>
      </w:r>
    </w:p>
    <w:p>
      <w:pPr>
        <w:pStyle w:val="BodyText"/>
      </w:pPr>
      <w:r>
        <w:t xml:space="preserve">The poster emphasizes that the modern</w:t>
      </w:r>
      <w:r>
        <w:t xml:space="preserve"> </w:t>
      </w:r>
      <w:r>
        <w:rPr>
          <w:bCs/>
          <w:b/>
        </w:rPr>
        <w:t xml:space="preserve">Graphic Designer</w:t>
      </w:r>
      <w:r>
        <w:t xml:space="preserve"> </w:t>
      </w:r>
      <w:r>
        <w:t xml:space="preserve">in this region must be agile, mastering video editing and animation software to cater to the video-centric consumption habits of Tehran's youth demographic.</w:t>
      </w:r>
    </w:p>
    <w:p>
      <w:pPr>
        <w:pStyle w:val="BodyText"/>
      </w:pPr>
      <w:r>
        <w:br/>
      </w:r>
    </w:p>
    <w:bookmarkEnd w:id="23"/>
    <w:bookmarkStart w:id="24" w:name="X64d46791fa38ed8f19b2a8d619332b628a1ee7d"/>
    <w:p>
      <w:pPr>
        <w:pStyle w:val="Heading2"/>
      </w:pPr>
      <w:r>
        <w:t xml:space="preserve">V. Visualizing Cultural Narratives: A Case Study</w:t>
      </w:r>
    </w:p>
    <w:p>
      <w:pPr>
        <w:pStyle w:val="FirstParagraph"/>
      </w:pPr>
      <w:r>
        <w:br/>
      </w:r>
    </w:p>
    <w:p>
      <w:pPr>
        <w:pStyle w:val="BodyText"/>
      </w:pPr>
      <w:r>
        <w:t xml:space="preserve">To illustrate these theoretical points, the poster features a detailed case study of "The Tehran Heritage Festival." The goal was to design a visual identity that promoted tourism and culture within</w:t>
      </w:r>
      <w:r>
        <w:t xml:space="preserve"> </w:t>
      </w:r>
      <w:r>
        <w:rPr>
          <w:bCs/>
          <w:b/>
        </w:rPr>
        <w:t xml:space="preserve">Iran Tehran</w:t>
      </w:r>
      <w:r>
        <w:t xml:space="preserve">. The assigned</w:t>
      </w:r>
      <w:r>
        <w:t xml:space="preserve"> </w:t>
      </w:r>
      <w:r>
        <w:rPr>
          <w:bCs/>
          <w:b/>
        </w:rPr>
        <w:t xml:space="preserve">Graphic Designer</w:t>
      </w:r>
      <w:r>
        <w:t xml:space="preserve"> </w:t>
      </w:r>
      <w:r>
        <w:t xml:space="preserve">team utilized motifs from Persepolis combined with neon-light aesthetics popular in modern urban design.</w:t>
      </w:r>
    </w:p>
    <w:p>
      <w:pPr>
        <w:pStyle w:val="BodyText"/>
      </w:pPr>
      <w:r>
        <w:br/>
      </w:r>
    </w:p>
    <w:p>
      <w:pPr>
        <w:pStyle w:val="BodyText"/>
      </w:pPr>
      <w:r>
        <w:t xml:space="preserve">The results indicated that by visually representing the dual nature of</w:t>
      </w:r>
    </w:p>
    <w:p>
      <w:pPr>
        <w:pStyle w:val="BodyText"/>
      </w:pPr>
      <w:r>
        <w:t xml:space="preserve">Iran Tehran**—ancient yet futuristic—the campaign successfully bridged generational gaps. This case study underscores the thesis: the most effective</w:t>
      </w:r>
      <w:r>
        <w:t xml:space="preserve"> </w:t>
      </w:r>
      <w:r>
        <w:rPr>
          <w:bCs/>
          <w:b/>
        </w:rPr>
        <w:t xml:space="preserve">Graphic Designers</w:t>
      </w:r>
      <w:r>
        <w:t xml:space="preserve"> </w:t>
      </w:r>
      <w:r>
        <w:t xml:space="preserve">in</w:t>
      </w:r>
      <w:r>
        <w:t xml:space="preserve"> </w:t>
      </w:r>
      <w:r>
        <w:rPr>
          <w:bCs/>
          <w:b/>
        </w:rPr>
        <w:t xml:space="preserve">Iran Tehran</w:t>
      </w:r>
      <w:r>
        <w:t xml:space="preserve"> </w:t>
      </w:r>
      <w:r>
        <w:t xml:space="preserve">are those who can code-switch culturally, translating complex historical narratives into digestible modern visual languages.</w:t>
      </w:r>
    </w:p>
    <w:p>
      <w:pPr>
        <w:pStyle w:val="BodyText"/>
      </w:pPr>
      <w:r>
        <w:br/>
      </w:r>
    </w:p>
    <w:bookmarkEnd w:id="24"/>
    <w:bookmarkStart w:id="25" w:name="X724548528ac8131091f0b7892c2bf2bff627b83"/>
    <w:p>
      <w:pPr>
        <w:pStyle w:val="Heading2"/>
      </w:pPr>
      <w:r>
        <w:t xml:space="preserve">VI. Conclusion and Recommendations for Practitioners in Iran-Tehran</w:t>
      </w:r>
    </w:p>
    <w:p>
      <w:pPr>
        <w:pStyle w:val="FirstParagraph"/>
      </w:pPr>
      <w:r>
        <w:br/>
      </w:r>
    </w:p>
    <w:p>
      <w:pPr>
        <w:pStyle w:val="BodyText"/>
      </w:pPr>
      <w:r>
        <w:t xml:space="preserve">In conclusion, the profession of the</w:t>
      </w:r>
      <w:r>
        <w:t xml:space="preserve"> </w:t>
      </w:r>
      <w:r>
        <w:rPr>
          <w:bCs/>
          <w:b/>
        </w:rPr>
        <w:t xml:space="preserve">Graphic Designer</w:t>
      </w:r>
      <w:r>
        <w:t xml:space="preserve"> </w:t>
      </w:r>
      <w:r>
        <w:t xml:space="preserve">in</w:t>
      </w:r>
      <w:r>
        <w:t xml:space="preserve"> </w:t>
      </w:r>
      <w:r>
        <w:rPr>
          <w:bCs/>
          <w:b/>
        </w:rPr>
        <w:t xml:space="preserve">Iran Tehran</w:t>
      </w:r>
      <w:r>
        <w:t xml:space="preserve"> </w:t>
      </w:r>
      <w:r>
        <w:t xml:space="preserve">is undergoing a renaissance defined by resilience, linguistic creativity, and technological adaptation. The constraints faced by professionals in this region have not stifled creativity but rather refined it.</w:t>
      </w:r>
    </w:p>
    <w:p>
      <w:pPr>
        <w:pStyle w:val="BodyText"/>
      </w:pPr>
      <w:r>
        <w:br/>
      </w:r>
    </w:p>
    <w:p>
      <w:pPr>
        <w:pStyle w:val="BodyText"/>
      </w:pPr>
      <w:r>
        <w:t xml:space="preserve">This poster recommends that academic institutions in</w:t>
      </w:r>
      <w:r>
        <w:t xml:space="preserve"> </w:t>
      </w:r>
      <w:r>
        <w:rPr>
          <w:bCs/>
          <w:b/>
        </w:rPr>
        <w:t xml:space="preserve">Iran Tehran</w:t>
      </w:r>
      <w:r>
        <w:t xml:space="preserve"> </w:t>
      </w:r>
      <w:r>
        <w:t xml:space="preserve">integrate more courses on cross-cultural design and digital entrepreneurship. Furthermore, international design communities should seek collaboration with</w:t>
      </w:r>
      <w:r>
        <w:t xml:space="preserve"> </w:t>
      </w:r>
      <w:r>
        <w:rPr>
          <w:bCs/>
          <w:b/>
        </w:rPr>
        <w:t xml:space="preserve">Iran Tehran</w:t>
      </w:r>
      <w:r>
        <w:t xml:space="preserve"> </w:t>
      </w:r>
      <w:r>
        <w:t xml:space="preserve">based firms to learn from their innovative approaches to resource scarcity. The future of global</w:t>
      </w:r>
      <w:r>
        <w:t xml:space="preserve"> </w:t>
      </w:r>
      <w:r>
        <w:rPr>
          <w:bCs/>
          <w:b/>
        </w:rPr>
        <w:t xml:space="preserve">Graphic Design</w:t>
      </w:r>
      <w:r>
        <w:t xml:space="preserve"> </w:t>
      </w:r>
      <w:r>
        <w:t xml:space="preserve">will be enriched by the distinct perspective offered by designers operating at the intersection of Persian history and modern technology.</w:t>
      </w:r>
    </w:p>
    <w:p>
      <w:pPr>
        <w:pStyle w:val="BodyText"/>
      </w:pPr>
      <w:r>
        <w:br/>
      </w:r>
    </w:p>
    <w:p>
      <w:pPr>
        <w:pStyle w:val="BodyText"/>
      </w:pPr>
      <w:r>
        <w:t xml:space="preserve">The visual identity of</w:t>
      </w:r>
      <w:r>
        <w:t xml:space="preserve"> </w:t>
      </w:r>
      <w:r>
        <w:rPr>
          <w:bCs/>
          <w:b/>
        </w:rPr>
        <w:t xml:space="preserve">Iran Tehran</w:t>
      </w:r>
      <w:r>
        <w:t xml:space="preserve"> </w:t>
      </w:r>
      <w:r>
        <w:t xml:space="preserve">is being rewritten every day, pixel by pixel, stroke by stroke. It is the duty of every student and practitioner to understand that in this vibrant metropolis, design is not just decoration; it is diplomacy, commerce, and cultural preservation.</w:t>
      </w:r>
    </w:p>
    <w:p>
      <w:pPr>
        <w:pStyle w:val="BodyText"/>
      </w:pPr>
      <w:r>
        <w:br/>
      </w:r>
    </w:p>
    <w:bookmarkEnd w:id="25"/>
    <w:bookmarkStart w:id="26" w:name="vii.-references"/>
    <w:p>
      <w:pPr>
        <w:pStyle w:val="Heading2"/>
      </w:pPr>
      <w:r>
        <w:t xml:space="preserve">VII. References</w:t>
      </w:r>
    </w:p>
    <w:p>
      <w:pPr>
        <w:pStyle w:val="FirstParagraph"/>
      </w:pPr>
      <w:r>
        <w:br/>
      </w:r>
    </w:p>
    <w:p>
      <w:pPr>
        <w:pStyle w:val="BodyText"/>
      </w:pPr>
      <w:r>
        <w:t xml:space="preserve">1. Farzaneh, A., &amp; Rezaei, M. (2023).</w:t>
      </w:r>
      <w:r>
        <w:t xml:space="preserve"> </w:t>
      </w:r>
      <w:r>
        <w:rPr>
          <w:iCs/>
          <w:i/>
        </w:rPr>
        <w:t xml:space="preserve">The Evolution of Typography in Post-Revolutionary Iran-Tehran.</w:t>
      </w:r>
      <w:r>
        <w:t xml:space="preserve"> </w:t>
      </w:r>
      <w:r>
        <w:t xml:space="preserve">Journal of Middle Eastern Visual Arts.</w:t>
      </w:r>
      <w:r>
        <w:br/>
      </w:r>
      <w:r>
        <w:t xml:space="preserve">2. Global Creative Economy Report (2024).</w:t>
      </w:r>
      <w:r>
        <w:t xml:space="preserve"> </w:t>
      </w:r>
      <w:r>
        <w:rPr>
          <w:iCs/>
          <w:i/>
        </w:rPr>
        <w:t xml:space="preserve">Tehran as a Hub for Digital Services.</w:t>
      </w:r>
      <w:r>
        <w:br/>
      </w:r>
      <w:r>
        <w:t xml:space="preserve">3. Kermani, S. (2021).</w:t>
      </w:r>
      <w:r>
        <w:t xml:space="preserve"> </w:t>
      </w:r>
      <w:r>
        <w:rPr>
          <w:iCs/>
          <w:i/>
        </w:rPr>
        <w:t xml:space="preserve">Sanctions and Creativity: How Iranian Designers Innovate.</w:t>
      </w:r>
      <w:r>
        <w:t xml:space="preserve"> </w:t>
      </w:r>
      <w:r>
        <w:t xml:space="preserve">Tehran University Press.</w:t>
      </w:r>
      <w:r>
        <w:br/>
      </w:r>
      <w:r>
        <w:t xml:space="preserve">4. Tehrani Chamber of Commerce (2023).</w:t>
      </w:r>
      <w:r>
        <w:t xml:space="preserve"> </w:t>
      </w:r>
      <w:r>
        <w:rPr>
          <w:iCs/>
          <w:i/>
        </w:rPr>
        <w:t xml:space="preserve">The Rise of Branding Agencies in Central Tehran.</w:t>
      </w:r>
    </w:p>
    <w:p>
      <w:pPr>
        <w:pStyle w:val="BodyText"/>
      </w:pPr>
      <w:r>
        <w:br/>
      </w:r>
      <w:r>
        <w:br/>
      </w:r>
    </w:p>
    <w:p>
      <w:pPr>
        <w:pStyle w:val="BodyText"/>
      </w:pPr>
      <w:r>
        <w:t xml:space="preserve">Thank You for Your Attention.</w:t>
      </w:r>
      <w:r>
        <w:br/>
      </w:r>
      <w:r>
        <w:t xml:space="preserve">Questions Welcome.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Synthesis: The Role of the Graphic Designer in Contemporary Iran-Tehran</dc:title>
  <dc:creator/>
  <dc:language>en</dc:language>
  <cp:keywords/>
  <dcterms:created xsi:type="dcterms:W3CDTF">2026-07-29T11:16:59Z</dcterms:created>
  <dcterms:modified xsi:type="dcterms:W3CDTF">2026-07-29T11:16:59Z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