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Kuwait</w:t>
      </w:r>
    </w:p>
    <w:bookmarkStart w:id="20" w:name="introduction"/>
    <w:p>
      <w:pPr>
        <w:pStyle w:val="Heading2"/>
      </w:pPr>
      <w:r>
        <w:t xml:space="preserve">1. Introduction</w:t>
      </w:r>
    </w:p>
    <w:p>
      <w:pPr>
        <w:pStyle w:val="FirstParagraph"/>
      </w:pPr>
      <w:r>
        <w:t xml:space="preserve">The role of the Graphic Designer extends far beyond mere aesthetics; it serves as a critical mediator between information and perception. In Kuwait City, the capital of the State of Kuwait, this mediation occurs within a highly dynamic environment characterized by rapid modernization while simultaneously maintaining deep-rooted historical traditions. The city acts as a microcosm of the broader Gulf region's transformation. For professionals working in this space, understanding the local semiotics is not optional but essential.</w:t>
      </w:r>
    </w:p>
    <w:p>
      <w:pPr>
        <w:pStyle w:val="BodyText"/>
      </w:pPr>
      <w:r>
        <w:t xml:space="preserve">This presentation aims to dissect how Graphic Designer practitioners in Kuwait City leverage visual language to address contemporary societal issues, promote tourism, and reinforce national identity. By examining case studies from branding agencies in Kuwait City and public art installations across the capital, we illustrate the strategic importance of design in urban development.</w:t>
      </w:r>
    </w:p>
    <w:bookmarkEnd w:id="20"/>
    <w:bookmarkStart w:id="21" w:name="cultural-context-and-visual-identity"/>
    <w:p>
      <w:pPr>
        <w:pStyle w:val="Heading2"/>
      </w:pPr>
      <w:r>
        <w:t xml:space="preserve">2. Cultural Context and Visual Identity</w:t>
      </w:r>
    </w:p>
    <w:p>
      <w:pPr>
        <w:pStyle w:val="FirstParagraph"/>
      </w:pPr>
      <w:r>
        <w:t xml:space="preserve">Kuwait City is renowned for its architectural marvels, such as the Kuwait Towers and the Grand Mosque, which heavily influence local design sensibilities. The Graphic Designer in this region must possess a nuanced understanding of geometric patterns, calligraphy, and color theory derived from Islamic art.</w:t>
      </w:r>
    </w:p>
    <w:p>
      <w:pPr>
        <w:numPr>
          <w:ilvl w:val="0"/>
          <w:numId w:val="1001"/>
        </w:numPr>
        <w:pStyle w:val="Compact"/>
      </w:pPr>
      <w:r>
        <w:rPr>
          <w:bCs/>
          <w:b/>
        </w:rPr>
        <w:t xml:space="preserve">Linguistic Duality:</w:t>
      </w:r>
      <w:r>
        <w:t xml:space="preserve"> </w:t>
      </w:r>
      <w:r>
        <w:t xml:space="preserve">Designers frequently engage in bilingual typography. The challenge lies in balancing the flow of Arabic script with Latin characters to ensure visual harmony without compromising legibility. In Kuwait City’s commercial districts, this duality is evident in signage and advertising campaigns.</w:t>
      </w:r>
    </w:p>
    <w:p>
      <w:pPr>
        <w:numPr>
          <w:ilvl w:val="0"/>
          <w:numId w:val="1001"/>
        </w:numPr>
        <w:pStyle w:val="Compact"/>
      </w:pPr>
      <w:r>
        <w:rPr>
          <w:bCs/>
          <w:b/>
        </w:rPr>
        <w:t xml:space="preserve">Heritage Preservation:</w:t>
      </w:r>
      <w:r>
        <w:t xml:space="preserve"> </w:t>
      </w:r>
      <w:r>
        <w:t xml:space="preserve">Many Graphic Designer projects focus on revitalizing traditional crafts and motifs. By integrating heritage elements into modern branding, designers help preserve cultural memory amidst globalization.</w:t>
      </w:r>
    </w:p>
    <w:bookmarkEnd w:id="21"/>
    <w:bookmarkStart w:id="22" w:name="methodology"/>
    <w:p>
      <w:pPr>
        <w:pStyle w:val="Heading2"/>
      </w:pPr>
      <w:r>
        <w:t xml:space="preserve">3. Methodology</w:t>
      </w:r>
    </w:p>
    <w:p>
      <w:pPr>
        <w:pStyle w:val="FirstParagraph"/>
      </w:pPr>
      <w:r>
        <w:t xml:space="preserve">This poster presentation utilizes a qualitative case study approach, analyzing design portfolios from prominent agencies located in Kuwait City. Data was collected through visual analysis of branding materials, public installations, and digital media campaigns produced between 2019 and 2024. The criteria for selection included cultural relevance, aesthetic innovation, and market impact within the Kuwaiti context.</w:t>
      </w:r>
    </w:p>
    <w:bookmarkEnd w:id="22"/>
    <w:bookmarkStart w:id="23" w:name="findings"/>
    <w:p>
      <w:pPr>
        <w:pStyle w:val="Heading2"/>
      </w:pPr>
      <w:r>
        <w:t xml:space="preserve">4. Findings</w:t>
      </w:r>
    </w:p>
    <w:p>
      <w:pPr>
        <w:pStyle w:val="FirstParagraph"/>
      </w:pPr>
      <w:r>
        <w:t xml:space="preserve">The analysis reveals three dominant themes in the work of Graphic Designers in Kuwait City:</w:t>
      </w:r>
    </w:p>
    <w:p>
      <w:pPr>
        <w:numPr>
          <w:ilvl w:val="0"/>
          <w:numId w:val="1002"/>
        </w:numPr>
        <w:pStyle w:val="Compact"/>
      </w:pPr>
      <w:r>
        <w:rPr>
          <w:bCs/>
          <w:b/>
        </w:rPr>
        <w:t xml:space="preserve">National Pride and Event Branding:</w:t>
      </w:r>
      <w:r>
        <w:t xml:space="preserve"> </w:t>
      </w:r>
      <w:r>
        <w:t xml:space="preserve">With Kuwait City hosting various international festivals and cultural events, designers are tasked with creating visual identities that project a modern yet authentic image. Logos for these events often incorporate abstract representations of the skyline or traditional dhow shapes.</w:t>
      </w:r>
    </w:p>
    <w:p>
      <w:pPr>
        <w:numPr>
          <w:ilvl w:val="0"/>
          <w:numId w:val="1002"/>
        </w:numPr>
        <w:pStyle w:val="Compact"/>
      </w:pPr>
      <w:r>
        <w:rPr>
          <w:bCs/>
          <w:b/>
        </w:rPr>
        <w:t xml:space="preserve">Digital Transformation:</w:t>
      </w:r>
      <w:r>
        <w:t xml:space="preserve"> </w:t>
      </w:r>
      <w:r>
        <w:t xml:space="preserve">The rise of social media in Kuwait has pushed Graphic Designers to adapt their workflows for digital-first consumption. Infographics and animated typography have become crucial tools for communicating complex information quickly to a young, tech-savvy demographic in Kuwait City.</w:t>
      </w:r>
    </w:p>
    <w:p>
      <w:pPr>
        <w:numPr>
          <w:ilvl w:val="0"/>
          <w:numId w:val="1002"/>
        </w:numPr>
        <w:pStyle w:val="Compact"/>
      </w:pPr>
      <w:r>
        <w:rPr>
          <w:bCs/>
          <w:b/>
        </w:rPr>
        <w:t xml:space="preserve">Social Advocacy:</w:t>
      </w:r>
      <w:r>
        <w:t xml:space="preserve"> </w:t>
      </w:r>
      <w:r>
        <w:t xml:space="preserve">Increasingly, designers are using their platforms to address social issues such as sustainability and women's empowerment. Visual campaigns launched in Kuwait City often reflect a progressive shift in societal values while respecting cultural boundaries.</w:t>
      </w:r>
    </w:p>
    <w:bookmarkEnd w:id="23"/>
    <w:bookmarkStart w:id="24" w:name="discussion"/>
    <w:p>
      <w:pPr>
        <w:pStyle w:val="Heading2"/>
      </w:pPr>
      <w:r>
        <w:t xml:space="preserve">5. Discussion</w:t>
      </w:r>
    </w:p>
    <w:p>
      <w:pPr>
        <w:pStyle w:val="FirstParagraph"/>
      </w:pPr>
      <w:r>
        <w:t xml:space="preserve">The intersection of tradition and modernity in Kuwait City provides a fertile ground for innovative Graphic Design practices. However, challenges remain regarding intellectual property rights and the standardization of design education within the region. Furthermore, there is a growing demand for Graphic Designer skills that go beyond static imagery, requiring proficiency in UX/UI design and motion graphics.</w:t>
      </w:r>
    </w:p>
    <w:p>
      <w:pPr>
        <w:pStyle w:val="BodyText"/>
      </w:pPr>
      <w:r>
        <w:t xml:space="preserve">The success of branding initiatives in Kuwait City depends heavily on the designer's ability to decode local cultural codes. Missteps in visual communication can lead to public backlash, while successful integration fosters deep emotional connections with the audience. Therefore, the Graphic Designer acts not just as a creator but as a cultural anthropologist.</w:t>
      </w:r>
    </w:p>
    <w:bookmarkEnd w:id="24"/>
    <w:bookmarkStart w:id="25" w:name="conclusion"/>
    <w:p>
      <w:pPr>
        <w:pStyle w:val="Heading2"/>
      </w:pPr>
      <w:r>
        <w:t xml:space="preserve">6. Conclusion</w:t>
      </w:r>
    </w:p>
    <w:p>
      <w:pPr>
        <w:pStyle w:val="FirstParagraph"/>
      </w:pPr>
      <w:r>
        <w:t xml:space="preserve">In conclusion, the Graphic Designer plays an indispensable role in the visual and cultural ecosystem of Kuwait City. By synthesizing global design principles with local heritage, these professionals contribute to the city's evolving identity. Future research should focus on the long-term impact of digital design strategies on consumer behavior in GCC countries. As Kuwait City continues to position itself as a regional leader, the demand for high-caliber Graphic Design expertise will only grow, necessitating ongoing professional development and academic inquiry.</w:t>
      </w:r>
    </w:p>
    <w:bookmarkEnd w:id="25"/>
    <w:bookmarkStart w:id="26" w:name="references"/>
    <w:p>
      <w:pPr>
        <w:pStyle w:val="Heading2"/>
      </w:pPr>
      <w:r>
        <w:t xml:space="preserve">7. References</w:t>
      </w:r>
    </w:p>
    <w:p>
      <w:pPr>
        <w:numPr>
          <w:ilvl w:val="0"/>
          <w:numId w:val="1003"/>
        </w:numPr>
        <w:pStyle w:val="Compact"/>
      </w:pPr>
      <w:r>
        <w:t xml:space="preserve">Ahmed, S. (2018). *Modern Arab Design: Bridging Past and Future*. Kuwait University Press.</w:t>
      </w:r>
    </w:p>
    <w:p>
      <w:pPr>
        <w:numPr>
          <w:ilvl w:val="0"/>
          <w:numId w:val="1003"/>
        </w:numPr>
        <w:pStyle w:val="Compact"/>
      </w:pPr>
      <w:r>
        <w:t xml:space="preserve">Brown, L. &amp; Al-Sabah, R. (2021). "Typography in the Gulf: A Study of Arabic-Latin Integration." *Journal of Visual Communication*, 45(3), 112-130.</w:t>
      </w:r>
    </w:p>
    <w:p>
      <w:pPr>
        <w:numPr>
          <w:ilvl w:val="0"/>
          <w:numId w:val="1003"/>
        </w:numPr>
        <w:pStyle w:val="Compact"/>
      </w:pPr>
      <w:r>
        <w:t xml:space="preserve">Kuwait Institute for Scientific Research. (2023). *Urban Identity and Public Art in Kuwait City*. KISR Publications.</w:t>
      </w:r>
    </w:p>
    <w:p>
      <w:pPr>
        <w:numPr>
          <w:ilvl w:val="0"/>
          <w:numId w:val="1003"/>
        </w:numPr>
        <w:pStyle w:val="Compact"/>
      </w:pPr>
      <w:r>
        <w:t xml:space="preserve">Mansour, F. (2019). "Cultural Semiotics in Marketing Materials of Kuwait City." *Middle East Design Review*, 12(1), 45-67.</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Graphic Designer in Contemporary Kuwait</dc:title>
  <dc:creator/>
  <dc:language>en</dc:language>
  <cp:keywords/>
  <dcterms:created xsi:type="dcterms:W3CDTF">2026-07-29T20:29:45Z</dcterms:created>
  <dcterms:modified xsi:type="dcterms:W3CDTF">2026-07-29T20:29:45Z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