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Wellington</w:t>
      </w:r>
    </w:p>
    <w:bookmarkStart w:id="30" w:name="X6d5c981297f6bc9be69b3201915bdf156b64a75"/>
    <w:p>
      <w:pPr>
        <w:pStyle w:val="Heading1"/>
      </w:pPr>
      <w:r>
        <w:t xml:space="preserve">Bridging Culture and Commerce:</w:t>
      </w:r>
      <w:r>
        <w:br/>
      </w:r>
      <w:r>
        <w:t xml:space="preserve">The Strategic Role of the Graphic Designer in New Zealand Wellington</w:t>
      </w:r>
    </w:p>
    <w:p>
      <w:pPr>
        <w:pStyle w:val="FirstParagraph"/>
      </w:pPr>
      <w:r>
        <w:t xml:space="preserve">A Poster Presentation Overview for Academic Review</w:t>
      </w:r>
      <w:r>
        <w:br/>
      </w:r>
      <w:r>
        <w:rPr>
          <w:bCs/>
          <w:b/>
        </w:rPr>
        <w:t xml:space="preserve">Context:</w:t>
      </w:r>
      <w:r>
        <w:t xml:space="preserve"> </w:t>
      </w:r>
      <w:r>
        <w:t xml:space="preserve">The Evolving Creative Industries Landscape in Wellington, Aotearoa</w:t>
      </w:r>
    </w:p>
    <w:bookmarkStart w:id="20" w:name="abstract"/>
    <w:p>
      <w:pPr>
        <w:pStyle w:val="Heading3"/>
      </w:pPr>
      <w:r>
        <w:t xml:space="preserve">Abstract</w:t>
      </w:r>
    </w:p>
    <w:p>
      <w:pPr>
        <w:pStyle w:val="FirstParagraph"/>
      </w:pPr>
      <w:r>
        <w:t xml:space="preserve">This presentation explores the multifaceted role of the Graphic Designer within the specific socio-economic and cultural context of New Zealand Wellington. As Wellington solidifies its reputation as a creative hub, distinct from Auckland’s commercial dominance and Christchurch’s reconstruction narrative, it offers a unique case study for design practice. This document analyzes how graphic designers in this region navigate indigenous Māori aesthetics (Mātauranga Māori), respond to the city's compact urban density, and leverage the high concentration of film, tech, and public sector industries. The study argues that in Wellington, graphic design is not merely an aesthetic service but a critical tool for cultural navigation, brand storytelling in a saturated media market, and community engagement.</w:t>
      </w:r>
    </w:p>
    <w:bookmarkEnd w:id="20"/>
    <w:bookmarkStart w:id="21" w:name="X500c8e4b9656ee2a217e52375c1b0ffab1461d3"/>
    <w:p>
      <w:pPr>
        <w:pStyle w:val="Heading2"/>
      </w:pPr>
      <w:r>
        <w:t xml:space="preserve">1. Introduction: Wellington as a Design Capital</w:t>
      </w:r>
    </w:p>
    <w:p>
      <w:pPr>
        <w:pStyle w:val="FirstParagraph"/>
      </w:pPr>
      <w:r>
        <w:t xml:space="preserve">New Zealand Wellington (Te Whanganui-a-Tara) holds a unique position in the global design landscape. Often referred to as "Wellywood" due to its significance in the film and television industry, and increasingly recognized for its robust tech sector, Wellington is a city where visual communication is paramount. Unlike other major metropolitan areas, Wellington’s design ecosystem is characterized by its intimate scale and high density of creative professionals per capita.</w:t>
      </w:r>
    </w:p>
    <w:p>
      <w:pPr>
        <w:pStyle w:val="BodyText"/>
      </w:pPr>
      <w:r>
        <w:t xml:space="preserve">This poster presentation posits that the Graphic Designer in this specific locale operates under a unique set of constraints and opportunities. The physical geography—often described as compact and vertical due to its hilly terrain—influences urban planning signage, wayfinding systems, and spatial design. Furthermore, the cultural mandate to honor Te Tiriti o Waitangi (The Treaty of Waitangi) requires designers in Wellington to engage deeply with bicultural frameworks. Therefore, understanding the Graphic Designer here requires an analysis that goes beyond typography and color theory into the realms of ethics, indigenous representation, and local market dynamics.</w:t>
      </w:r>
    </w:p>
    <w:bookmarkEnd w:id="21"/>
    <w:bookmarkStart w:id="24" w:name="X010f0c33c190431024a8821e5106485b610cb4a"/>
    <w:p>
      <w:pPr>
        <w:pStyle w:val="Heading2"/>
      </w:pPr>
      <w:r>
        <w:t xml:space="preserve">2. The Intersection of Indigenous Knowledge and Modern Design</w:t>
      </w:r>
    </w:p>
    <w:p>
      <w:pPr>
        <w:pStyle w:val="FirstParagraph"/>
      </w:pPr>
      <w:r>
        <w:t xml:space="preserve">A defining characteristic of contemporary design practice in New Zealand Wellington is the integration of Māori visual language (Mātauranga Māori) into modern corporate and public identities. For a Graphic Designer working in this region, proficiency is not limited to software mastery but extends to cultural competency.</w:t>
      </w:r>
    </w:p>
    <w:bookmarkStart w:id="22" w:name="cultural-authenticity-vs.-appropriation"/>
    <w:p>
      <w:pPr>
        <w:pStyle w:val="Heading3"/>
      </w:pPr>
      <w:r>
        <w:t xml:space="preserve">Cultural Authenticity vs. Appropriation</w:t>
      </w:r>
    </w:p>
    <w:p>
      <w:pPr>
        <w:pStyle w:val="FirstParagraph"/>
      </w:pPr>
      <w:r>
        <w:t xml:space="preserve">In Wellington’s competitive market, brands are increasingly scrutinized for their cultural authenticity. Designers must navigate the delicate balance between utilizing traditional motifs (such as Kōwhaiwhai patterns or Koru spirals) and avoiding cultural appropriation. This presentation highlights case studies where local designers have successfully collaborated with iwi (tribes) to create brand identities that resonate with both Māori values and global commercial standards.</w:t>
      </w:r>
    </w:p>
    <w:bookmarkEnd w:id="22"/>
    <w:bookmarkStart w:id="23" w:name="the-bicultural-framework"/>
    <w:p>
      <w:pPr>
        <w:pStyle w:val="Heading3"/>
      </w:pPr>
      <w:r>
        <w:t xml:space="preserve">The Bicultural Framework</w:t>
      </w:r>
    </w:p>
    <w:p>
      <w:pPr>
        <w:pStyle w:val="FirstParagraph"/>
      </w:pPr>
      <w:r>
        <w:t xml:space="preserve">For public sector organizations, which constitute a significant portion of Wellington’s economy, graphic design serves as a vehicle for inclusive communication. Designers in this region are often tasked with creating visual systems that respect te reo Māori (the Māori language) orthography and placement rules. This requirement pushes designers to adopt more rigorous typographic standards and spatial awareness, ensuring that bilingual elements are not merely translated but visually harmonized.</w:t>
      </w:r>
    </w:p>
    <w:bookmarkEnd w:id="23"/>
    <w:bookmarkEnd w:id="24"/>
    <w:bookmarkStart w:id="25" w:name="X1b6423ade683c32200d8b7aaafbc3440977e982"/>
    <w:p>
      <w:pPr>
        <w:pStyle w:val="Heading2"/>
      </w:pPr>
      <w:r>
        <w:t xml:space="preserve">3. Industry Verticals: Film, Tech, and Government</w:t>
      </w:r>
    </w:p>
    <w:p>
      <w:pPr>
        <w:pStyle w:val="FirstParagraph"/>
      </w:pPr>
      <w:r>
        <w:t xml:space="preserve">The economic backbone of Wellington’s creative sector is driven by three primary industries: the film and visual effects (VFX) sector, the technology start-up scene, and the public administration/government sector. The Graphic Designer plays a pivotal role in each.</w:t>
      </w:r>
    </w:p>
    <w:p>
      <w:pPr>
        <w:numPr>
          <w:ilvl w:val="0"/>
          <w:numId w:val="1001"/>
        </w:numPr>
        <w:pStyle w:val="Compact"/>
      </w:pPr>
      <w:r>
        <w:rPr>
          <w:bCs/>
          <w:b/>
        </w:rPr>
        <w:t xml:space="preserve">The Film and VFX Sector:</w:t>
      </w:r>
      <w:r>
        <w:t xml:space="preserve"> </w:t>
      </w:r>
      <w:r>
        <w:t xml:space="preserve">Wellington is home to major post-production houses. Here, Graphic Designers work closely with motion graphics artists, creating static assets that transition into dynamic media. The skill set required involves a deep understanding of temporal design—how an image evolves over time—which differs significantly from traditional print-based graphic design.</w:t>
      </w:r>
    </w:p>
    <w:p>
      <w:pPr>
        <w:numPr>
          <w:ilvl w:val="0"/>
          <w:numId w:val="1001"/>
        </w:numPr>
        <w:pStyle w:val="Compact"/>
      </w:pPr>
      <w:r>
        <w:rPr>
          <w:bCs/>
          <w:b/>
        </w:rPr>
        <w:t xml:space="preserve">The Tech and Innovation Hub:</w:t>
      </w:r>
      <w:r>
        <w:t xml:space="preserve"> </w:t>
      </w:r>
      <w:r>
        <w:t xml:space="preserve">As Wellington positions itself as a hub for social enterprise and tech innovation, Graphic Designers are responsible for user interface (UI) and user experience (UX) branding. In this context, design is functional. The "Wellington style" of tech branding often favors minimalist aesthetics that reflect the city’s laid-back yet innovative culture.</w:t>
      </w:r>
    </w:p>
    <w:p>
      <w:pPr>
        <w:numPr>
          <w:ilvl w:val="0"/>
          <w:numId w:val="1001"/>
        </w:numPr>
        <w:pStyle w:val="Compact"/>
      </w:pPr>
      <w:r>
        <w:rPr>
          <w:bCs/>
          <w:b/>
        </w:rPr>
        <w:t xml:space="preserve">The Public Sector:</w:t>
      </w:r>
      <w:r>
        <w:t xml:space="preserve"> </w:t>
      </w:r>
      <w:r>
        <w:t xml:space="preserve">With numerous government departments headquartered in the city, Graphic Designers are frequently engaged in public policy communication. This involves complex information design—simplifying legislative data into accessible infographics for citizens. The challenge here is clarity and accessibility, ensuring that critical civic information reaches diverse demographic groups effectively.</w:t>
      </w:r>
    </w:p>
    <w:bookmarkEnd w:id="25"/>
    <w:bookmarkStart w:id="26" w:name="urban-spatiality-and-wayfinding"/>
    <w:p>
      <w:pPr>
        <w:pStyle w:val="Heading2"/>
      </w:pPr>
      <w:r>
        <w:t xml:space="preserve">4. Urban Spatiality and Wayfinding</w:t>
      </w:r>
    </w:p>
    <w:p>
      <w:pPr>
        <w:pStyle w:val="FirstParagraph"/>
      </w:pPr>
      <w:r>
        <w:t xml:space="preserve">The physical layout of New Zealand Wellington presents unique challenges for environmental Graphic Designers. The city’s topography, with its steep hills and compact CBD, influences how people move through space. Designers must create wayfinding systems that are not only visually clear but also spatially intuitive.</w:t>
      </w:r>
    </w:p>
    <w:p>
      <w:pPr>
        <w:pStyle w:val="BodyText"/>
      </w:pPr>
      <w:r>
        <w:t xml:space="preserve">This section of the presentation examines how local designers utilize color coding and iconography to aid navigation in multi-level public transport hubs (such as the Wellington Railway Station and cable car terminus). The integration of digital signage with physical branding is a growing trend in Wellington, requiring Graphic Designers to collaborate closely with urban planners and architects. The result is a cohesive visual identity that guides pedestrians through one of the world’s more geographically distinct cities.</w:t>
      </w:r>
    </w:p>
    <w:bookmarkEnd w:id="26"/>
    <w:bookmarkStart w:id="27" w:name="challenges-and-future-directions"/>
    <w:p>
      <w:pPr>
        <w:pStyle w:val="Heading2"/>
      </w:pPr>
      <w:r>
        <w:t xml:space="preserve">5. Challenges and Future Directions</w:t>
      </w:r>
    </w:p>
    <w:p>
      <w:pPr>
        <w:pStyle w:val="FirstParagraph"/>
      </w:pPr>
      <w:r>
        <w:t xml:space="preserve">Despite its strengths, the Graphic Designer in Wellington faces several challenges:</w:t>
      </w:r>
    </w:p>
    <w:p>
      <w:pPr>
        <w:numPr>
          <w:ilvl w:val="0"/>
          <w:numId w:val="1002"/>
        </w:numPr>
        <w:pStyle w:val="Compact"/>
      </w:pPr>
      <w:r>
        <w:rPr>
          <w:bCs/>
          <w:b/>
        </w:rPr>
        <w:t xml:space="preserve">Economic Pressures:</w:t>
      </w:r>
      <w:r>
        <w:t xml:space="preserve">The cost of living in Wellington has risen significantly, impacting the affordability for junior designers and creatives. This poses a risk to the pipeline of new talent entering the industry.</w:t>
      </w:r>
    </w:p>
    <w:p>
      <w:pPr>
        <w:numPr>
          <w:ilvl w:val="0"/>
          <w:numId w:val="1002"/>
        </w:numPr>
        <w:pStyle w:val="Compact"/>
      </w:pPr>
      <w:r>
        <w:rPr>
          <w:bCs/>
          <w:b/>
        </w:rPr>
        <w:t xml:space="preserve">Digital Saturation:</w:t>
      </w:r>
      <w:r>
        <w:t xml:space="preserve"> </w:t>
      </w:r>
      <w:r>
        <w:t xml:space="preserve">With the rise of AI-generated imagery and template-based design tools, mid-level designers must differentiate themselves through strategic thinking and cultural nuance rather than just technical execution.</w:t>
      </w:r>
    </w:p>
    <w:p>
      <w:pPr>
        <w:numPr>
          <w:ilvl w:val="0"/>
          <w:numId w:val="1002"/>
        </w:numPr>
        <w:pStyle w:val="Compact"/>
      </w:pPr>
      <w:r>
        <w:rPr>
          <w:bCs/>
          <w:b/>
        </w:rPr>
        <w:t xml:space="preserve">Sustainability:</w:t>
      </w:r>
      <w:r>
        <w:t xml:space="preserve"> </w:t>
      </w:r>
      <w:r>
        <w:t xml:space="preserve">There is a growing demand for sustainable design practices. In a small market like Wellington’s, designers are increasingly expected to advise clients on eco-friendly materials and digital-first strategies to reduce carbon footprints.</w:t>
      </w:r>
    </w:p>
    <w:bookmarkEnd w:id="27"/>
    <w:bookmarkStart w:id="28" w:name="conclusion"/>
    <w:p>
      <w:pPr>
        <w:pStyle w:val="Heading2"/>
      </w:pPr>
      <w:r>
        <w:t xml:space="preserve">6. Conclusion</w:t>
      </w:r>
    </w:p>
    <w:p>
      <w:pPr>
        <w:pStyle w:val="FirstParagraph"/>
      </w:pPr>
      <w:r>
        <w:t xml:space="preserve">The role of the Graphic Designer in New Zealand Wellington is far more complex than traditional definitions suggest. It is a role that demands cultural sensitivity, technical versatility across print and digital media, and an understanding of urban spatial dynamics. As Wellington continues to grow as a global creative hub, the Graphic Designer will remain central to its narrative.</w:t>
      </w:r>
    </w:p>
    <w:p>
      <w:pPr>
        <w:pStyle w:val="BodyText"/>
      </w:pPr>
      <w:r>
        <w:t xml:space="preserve">This poster presentation underscores that success in this region requires designers to be not just visual communicators, but cultural mediators and strategic partners. By embracing the unique bicultural context and leveraging the city’s industrial strengths in film and tech, Wellington-based Graphic Designers are shaping a distinct aesthetic identity that is both locally grounded and globally competitive.</w:t>
      </w:r>
    </w:p>
    <w:bookmarkEnd w:id="28"/>
    <w:bookmarkStart w:id="29" w:name="references-further-reading"/>
    <w:p>
      <w:pPr>
        <w:pStyle w:val="Heading2"/>
      </w:pPr>
      <w:r>
        <w:t xml:space="preserve">7. References &amp; Further Reading</w:t>
      </w:r>
    </w:p>
    <w:p>
      <w:pPr>
        <w:pStyle w:val="FirstParagraph"/>
      </w:pPr>
      <w:r>
        <w:rPr>
          <w:iCs/>
          <w:i/>
        </w:rPr>
        <w:t xml:space="preserve">(Selected Bibliography for Academic Context)</w:t>
      </w:r>
    </w:p>
    <w:p>
      <w:pPr>
        <w:numPr>
          <w:ilvl w:val="0"/>
          <w:numId w:val="1003"/>
        </w:numPr>
        <w:pStyle w:val="Compact"/>
      </w:pPr>
      <w:r>
        <w:t xml:space="preserve">New Zealand Institute of Graphic Design (NZGD) Code of Ethics.</w:t>
      </w:r>
    </w:p>
    <w:p>
      <w:pPr>
        <w:numPr>
          <w:ilvl w:val="0"/>
          <w:numId w:val="1003"/>
        </w:numPr>
        <w:pStyle w:val="Compact"/>
      </w:pPr>
      <w:r>
        <w:t xml:space="preserve">Department of Internal Affairs. (2023). "The Creative Economy in New Zealand."</w:t>
      </w:r>
    </w:p>
    <w:p>
      <w:pPr>
        <w:numPr>
          <w:ilvl w:val="0"/>
          <w:numId w:val="1003"/>
        </w:numPr>
        <w:pStyle w:val="Compact"/>
      </w:pPr>
      <w:r>
        <w:t xml:space="preserve">Hutchinson, N., &amp; Kinsley, L. (Eds.). (2017). *New Zealand Design: Contemporary Practice and Identity.*</w:t>
      </w:r>
    </w:p>
    <w:p>
      <w:pPr>
        <w:numPr>
          <w:ilvl w:val="0"/>
          <w:numId w:val="1003"/>
        </w:numPr>
        <w:pStyle w:val="Compact"/>
      </w:pPr>
      <w:r>
        <w:t xml:space="preserve">Weilgart, L. B. (2018). "Designing for Maori: Ethical considerations in visual communication."</w:t>
      </w:r>
    </w:p>
    <w:p>
      <w:pPr>
        <w:numPr>
          <w:ilvl w:val="0"/>
          <w:numId w:val="1003"/>
        </w:numPr>
        <w:pStyle w:val="Compact"/>
      </w:pPr>
      <w:r>
        <w:t xml:space="preserve">WeWellington City Council. (2024). "Urban Design Protocol Framework."</w:t>
      </w:r>
    </w:p>
    <w:bookmarkEnd w:id="29"/>
    <w:bookmarkEnd w:id="30"/>
    <w:p>
      <w:pPr>
        <w:pStyle w:val="FirstParagraph"/>
      </w:pPr>
      <w:r>
        <w:t xml:space="preserve">© 2024 Academic Poster Presentation Series | Designed for the Wellington Creative Industries Forum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Graphic Designer in Wellington</dc:title>
  <dc:creator/>
  <dc:language>en</dc:language>
  <cp:keywords/>
  <dcterms:created xsi:type="dcterms:W3CDTF">2026-07-30T00:36:40Z</dcterms:created>
  <dcterms:modified xsi:type="dcterms:W3CDTF">2026-07-30T00:36:40Z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