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Visual</w:t>
      </w:r>
      <w:r>
        <w:t xml:space="preserve"> </w:t>
      </w:r>
      <w:r>
        <w:t xml:space="preserve">Identity:</w:t>
      </w:r>
      <w:r>
        <w:t xml:space="preserve"> </w:t>
      </w:r>
      <w:r>
        <w:t xml:space="preserve">A</w:t>
      </w:r>
      <w:r>
        <w:t xml:space="preserve"> </w:t>
      </w:r>
      <w:r>
        <w:t xml:space="preserve">Graphic</w:t>
      </w:r>
      <w:r>
        <w:t xml:space="preserve"> </w:t>
      </w:r>
      <w:r>
        <w:t xml:space="preserve">Designer’s</w:t>
      </w:r>
      <w:r>
        <w:t xml:space="preserve"> </w:t>
      </w:r>
      <w:r>
        <w:t xml:space="preserve">Perspective</w:t>
      </w:r>
      <w:r>
        <w:t xml:space="preserve"> </w:t>
      </w:r>
      <w:r>
        <w:t xml:space="preserve">on</w:t>
      </w:r>
      <w:r>
        <w:t xml:space="preserve"> </w:t>
      </w:r>
      <w:r>
        <w:t xml:space="preserve">Modern</w:t>
      </w:r>
      <w:r>
        <w:t xml:space="preserve"> </w:t>
      </w:r>
      <w:r>
        <w:t xml:space="preserve">Tashkent</w:t>
      </w:r>
    </w:p>
    <w:p>
      <w:pPr>
        <w:pStyle w:val="FirstParagraph"/>
      </w:pPr>
      <w:r>
        <w:t xml:space="preserve">body tag.</w:t>
      </w:r>
    </w:p>
    <w:bookmarkStart w:id="28" w:name="bridging-heritage-and-innovation"/>
    <w:p>
      <w:pPr>
        <w:pStyle w:val="Heading1"/>
      </w:pPr>
      <w:r>
        <w:t xml:space="preserve">Bridging Heritage and Innovation</w:t>
      </w:r>
    </w:p>
    <w:bookmarkStart w:id="27" w:name="X61b6259018639235be2e1922d0036b3732c30c9"/>
    <w:p>
      <w:pPr>
        <w:pStyle w:val="Heading2"/>
      </w:pPr>
      <w:r>
        <w:t xml:space="preserve">The Role of the Graphic Designer in Shaping Tashkent’s Contemporary Visual Landscape</w:t>
      </w:r>
    </w:p>
    <w:p>
      <w:pPr>
        <w:pStyle w:val="FirstParagraph"/>
      </w:pPr>
      <w:r>
        <w:rPr>
          <w:bCs/>
          <w:b/>
        </w:rPr>
        <w:t xml:space="preserve">Author:</w:t>
      </w:r>
      <w:r>
        <w:t xml:space="preserve"> </w:t>
      </w:r>
      <w:r>
        <w:t xml:space="preserve">Senior Visual Strategist |</w:t>
      </w:r>
      <w:r>
        <w:t xml:space="preserve"> </w:t>
      </w:r>
      <w:r>
        <w:rPr>
          <w:bCs/>
          <w:b/>
        </w:rPr>
        <w:t xml:space="preserve">Institution:</w:t>
      </w:r>
      <w:r>
        <w:t xml:space="preserve"> </w:t>
      </w:r>
      <w:r>
        <w:t xml:space="preserve">Central Asian Design Institute |</w:t>
      </w:r>
      <w:r>
        <w:t xml:space="preserve"> </w:t>
      </w:r>
      <w:r>
        <w:rPr>
          <w:bCs/>
          <w:b/>
        </w:rPr>
        <w:t xml:space="preserve">Date:</w:t>
      </w:r>
    </w:p>
    <w:bookmarkStart w:id="20" w:name="introduction-context"/>
    <w:p>
      <w:pPr>
        <w:pStyle w:val="Heading3"/>
      </w:pPr>
      <w:r>
        <w:t xml:space="preserve">Introduction &amp; Context</w:t>
      </w:r>
    </w:p>
    <w:p>
      <w:pPr>
        <w:pStyle w:val="FirstParagraph"/>
      </w:pPr>
      <w:r>
        <w:rPr>
          <w:bCs/>
          <w:b/>
        </w:rPr>
        <w:t xml:space="preserve">The Urban Canvas of Uzbekistan Tashkent:</w:t>
      </w:r>
      <w:r>
        <w:t xml:space="preserve"> </w:t>
      </w:r>
      <w:r>
        <w:t xml:space="preserve">As the capital city, Tashkent stands at a critical intersection of historical preservation and rapid modernization. For any</w:t>
      </w:r>
      <w:r>
        <w:t xml:space="preserve"> </w:t>
      </w:r>
      <w:r>
        <w:rPr>
          <w:bCs/>
          <w:b/>
        </w:rPr>
        <w:t xml:space="preserve">Graphic Designer</w:t>
      </w:r>
      <w:r>
        <w:t xml:space="preserve"> </w:t>
      </w:r>
      <w:r>
        <w:t xml:space="preserve">operating in this region, the challenge is not merely aesthetic but cultural and sociological. This poster presentation academic explores how visual communication strategies are evolving to meet the needs of a city undergoing unprecedented urban renewal.</w:t>
      </w:r>
    </w:p>
    <w:p>
      <w:pPr>
        <w:pStyle w:val="BodyText"/>
      </w:pPr>
      <w:r>
        <w:rPr>
          <w:bCs/>
          <w:b/>
        </w:rPr>
        <w:t xml:space="preserve">The Academic Imperative:</w:t>
      </w:r>
      <w:r>
        <w:t xml:space="preserve"> </w:t>
      </w:r>
      <w:r>
        <w:t xml:space="preserve">In the context of</w:t>
      </w:r>
      <w:r>
        <w:t xml:space="preserve"> </w:t>
      </w:r>
      <w:r>
        <w:rPr>
          <w:bCs/>
          <w:b/>
        </w:rPr>
        <w:t xml:space="preserve">Poster Presentation academic</w:t>
      </w:r>
      <w:r>
        <w:t xml:space="preserve"> </w:t>
      </w:r>
      <w:r>
        <w:t xml:space="preserve">discourse, we must examine graphic design not just as an industry practice, but as a form of spatial rhetoric. Tashkent is becoming a hub for international business, tourism, and education. The visual identity of the city must reflect this global ambition while remaining rooted in its unique Central Asian heritage.</w:t>
      </w:r>
    </w:p>
    <w:p>
      <w:pPr>
        <w:pStyle w:val="BodyText"/>
      </w:pPr>
      <w:r>
        <w:rPr>
          <w:bCs/>
          <w:b/>
        </w:rPr>
        <w:t xml:space="preserve">Objective:</w:t>
      </w:r>
      <w:r>
        <w:t xml:space="preserve"> </w:t>
      </w:r>
      <w:r>
        <w:t xml:space="preserve">This study analyzes current design trends in</w:t>
      </w:r>
      <w:r>
        <w:t xml:space="preserve"> </w:t>
      </w:r>
      <w:r>
        <w:rPr>
          <w:bCs/>
          <w:b/>
        </w:rPr>
        <w:t xml:space="preserve">Tashkent</w:t>
      </w:r>
      <w:r>
        <w:t xml:space="preserve">, identifying key shifts from Soviet-era minimalism to a vibrant, neo-traditionalist aesthetic. It argues that the modern</w:t>
      </w:r>
    </w:p>
    <w:p>
      <w:pPr>
        <w:pStyle w:val="BodyText"/>
      </w:pPr>
      <w:r>
        <w:t xml:space="preserve">Graphic Designer</w:t>
      </w:r>
    </w:p>
    <w:bookmarkEnd w:id="20"/>
    <w:bookmarkStart w:id="21" w:name="methodology"/>
    <w:p>
      <w:pPr>
        <w:pStyle w:val="Heading3"/>
      </w:pPr>
      <w:r>
        <w:t xml:space="preserve">Methodology</w:t>
      </w:r>
    </w:p>
    <w:p>
      <w:pPr>
        <w:pStyle w:val="FirstParagraph"/>
      </w:pPr>
      <w:r>
        <w:t xml:space="preserve">To understand the evolving role of the</w:t>
      </w:r>
      <w:r>
        <w:t xml:space="preserve"> </w:t>
      </w:r>
      <w:r>
        <w:rPr>
          <w:bCs/>
          <w:b/>
        </w:rPr>
        <w:t xml:space="preserve">Graphic Designer</w:t>
      </w:r>
      <w:r>
        <w:t xml:space="preserve">, this research employs a mixed-method approach:</w:t>
      </w:r>
    </w:p>
    <w:p>
      <w:pPr>
        <w:pStyle w:val="BodyText"/>
      </w:pPr>
      <w:r>
        <w:rPr>
          <w:bCs/>
          <w:b/>
        </w:rPr>
        <w:t xml:space="preserve">Semiotic Analysis:</w:t>
      </w:r>
      <w:r>
        <w:t xml:space="preserve"> </w:t>
      </w:r>
      <w:r>
        <w:t xml:space="preserve">Deconstructing visual elements in public signage, branding, and digital media within Tashkent.</w:t>
      </w:r>
    </w:p>
    <w:p>
      <w:pPr>
        <w:pStyle w:val="BodyText"/>
      </w:pPr>
      <w:r>
        <w:rPr>
          <w:bCs/>
          <w:b/>
        </w:rPr>
        <w:t xml:space="preserve">Case Studies of Local Firms:</w:t>
      </w:r>
      <w:r>
        <w:t xml:space="preserve"> </w:t>
      </w:r>
      <w:r>
        <w:t xml:space="preserve">Examining successful design agencies in Uzbekistan that have gained international recognition for their localization strategies.</w:t>
      </w:r>
    </w:p>
    <w:p>
      <w:pPr>
        <w:pStyle w:val="BodyText"/>
      </w:pPr>
      <w:r>
        <w:rPr>
          <w:bCs/>
          <w:b/>
        </w:rPr>
        <w:t xml:space="preserve">User Experience (UX) Surveys:</w:t>
      </w:r>
      <w:r>
        <w:t xml:space="preserve"> </w:t>
      </w:r>
      <w:r>
        <w:t xml:space="preserve">Assessing how residents and tourists perceive the visual coherence of Tashkent’s public spaces.</w:t>
      </w:r>
    </w:p>
    <w:p>
      <w:pPr>
        <w:pStyle w:val="BodyText"/>
      </w:pPr>
      <w:r>
        <w:t xml:space="preserve">This rigorous academic framework ensures that the insights presented in this poster are grounded in empirical data rather than anecdotal observation.</w:t>
      </w:r>
    </w:p>
    <w:bookmarkEnd w:id="21"/>
    <w:bookmarkStart w:id="22" w:name="Xac78d02562f4902e40e06ca634a280ec3165a7c"/>
    <w:p>
      <w:pPr>
        <w:pStyle w:val="Heading3"/>
      </w:pPr>
      <w:r>
        <w:t xml:space="preserve">Key Findings: The Neo-Traditional Aesthetic</w:t>
      </w:r>
    </w:p>
    <w:p>
      <w:pPr>
        <w:pStyle w:val="FirstParagraph"/>
      </w:pPr>
      <w:r>
        <w:t xml:space="preserve">The most significant trend observed in Tashkent is the fusion of traditional Uzbek motifs with modern minimalist design principles. The</w:t>
      </w:r>
      <w:r>
        <w:t xml:space="preserve"> </w:t>
      </w:r>
      <w:r>
        <w:rPr>
          <w:bCs/>
          <w:b/>
        </w:rPr>
        <w:t xml:space="preserve">Graphic Designer</w:t>
      </w:r>
      <w:r>
        <w:t xml:space="preserve"> </w:t>
      </w:r>
      <w:r>
        <w:t xml:space="preserve">is increasingly tasked with translating complex cultural symbols (such as patterns from Samarkand or Bukhara) into legible, contemporary visual languages.</w:t>
      </w:r>
    </w:p>
    <w:p>
      <w:pPr>
        <w:pStyle w:val="BodyText"/>
      </w:pPr>
      <w:r>
        <w:rPr>
          <w:bCs/>
          <w:b/>
        </w:rPr>
        <w:t xml:space="preserve">The Role of Typography:</w:t>
      </w:r>
      <w:r>
        <w:t xml:space="preserve"> </w:t>
      </w:r>
      <w:r>
        <w:t xml:space="preserve">A critical finding is the rise of custom Cyrillic and Latin typography. With Uzbekistan transitioning toward Latin script for official purposes, designers are creating hybrid typographic systems that respect both scripts. This presents a unique challenge in balancing readability with artistic expression, a key topic in any</w:t>
      </w:r>
      <w:r>
        <w:t xml:space="preserve"> </w:t>
      </w:r>
      <w:r>
        <w:rPr>
          <w:bCs/>
          <w:b/>
        </w:rPr>
        <w:t xml:space="preserve">Poster Presentation academic</w:t>
      </w:r>
      <w:r>
        <w:t xml:space="preserve"> </w:t>
      </w:r>
      <w:r>
        <w:t xml:space="preserve">debate regarding linguistic identity.</w:t>
      </w:r>
    </w:p>
    <w:p>
      <w:pPr>
        <w:pStyle w:val="BodyText"/>
      </w:pPr>
      <w:r>
        <w:rPr>
          <w:bCs/>
          <w:b/>
        </w:rPr>
        <w:t xml:space="preserve">Color Palettes:</w:t>
      </w:r>
      <w:r>
        <w:t xml:space="preserve"> </w:t>
      </w:r>
      <w:r>
        <w:t xml:space="preserve">Traditional turquoise and lapis lazuli, colors deeply associated with Islamic architecture in Uzbekistan, are being repurposed for corporate branding and tech startups. This recontextualization allows the</w:t>
      </w:r>
      <w:r>
        <w:t xml:space="preserve"> </w:t>
      </w:r>
      <w:r>
        <w:rPr>
          <w:bCs/>
          <w:b/>
        </w:rPr>
        <w:t xml:space="preserve">Graphic Designer</w:t>
      </w:r>
    </w:p>
    <w:bookmarkEnd w:id="22"/>
    <w:bookmarkStart w:id="23" w:name="digital-transformation-in-tashkent"/>
    <w:p>
      <w:pPr>
        <w:pStyle w:val="Heading3"/>
      </w:pPr>
      <w:r>
        <w:t xml:space="preserve">Digital Transformation in Tashkent</w:t>
      </w:r>
    </w:p>
    <w:p>
      <w:pPr>
        <w:pStyle w:val="FirstParagraph"/>
      </w:pPr>
      <w:r>
        <w:t xml:space="preserve">The digital landscape in Uzbekistan is expanding rapidly. The</w:t>
      </w:r>
      <w:r>
        <w:t xml:space="preserve"> </w:t>
      </w:r>
      <w:r>
        <w:rPr>
          <w:bCs/>
          <w:b/>
        </w:rPr>
        <w:t xml:space="preserve">Graphic Designer</w:t>
      </w:r>
      <w:r>
        <w:t xml:space="preserve"> </w:t>
      </w:r>
      <w:r>
        <w:t xml:space="preserve">is no longer confined to print media. Mobile app interfaces, social media campaigns, and virtual reality experiences are becoming primary vectors for urban communication.</w:t>
      </w:r>
    </w:p>
    <w:p>
      <w:pPr>
        <w:pStyle w:val="BodyText"/>
      </w:pPr>
      <w:r>
        <w:t xml:space="preserve">In Tashkent’s growing tech sector, design systems must be scalable and adaptive. Our research indicates that local firms are adopting agile design methodologies previously exclusive to Western markets. This shift signifies a maturation of the creative industry in Uzbekistan, positioning Tashkent as a emerging regional hub for digital creativity.</w:t>
      </w:r>
    </w:p>
    <w:bookmarkEnd w:id="23"/>
    <w:bookmarkStart w:id="24" w:name="implications-for-practice"/>
    <w:p>
      <w:pPr>
        <w:pStyle w:val="Heading3"/>
      </w:pPr>
      <w:r>
        <w:t xml:space="preserve">Implications for Practice</w:t>
      </w:r>
    </w:p>
    <w:p>
      <w:pPr>
        <w:pStyle w:val="FirstParagraph"/>
      </w:pPr>
      <w:r>
        <w:t xml:space="preserve">For professionals working in or studying the context of Uzbekistan Tashkent, several implications arise:</w:t>
      </w:r>
    </w:p>
    <w:p>
      <w:pPr>
        <w:pStyle w:val="BodyText"/>
      </w:pPr>
      <w:r>
        <w:rPr>
          <w:bCs/>
          <w:b/>
        </w:rPr>
        <w:t xml:space="preserve">Cultural Sensitivity:</w:t>
      </w:r>
      <w:r>
        <w:t xml:space="preserve"> </w:t>
      </w:r>
      <w:r>
        <w:t xml:space="preserve">The designer must act as a cultural mediator, ensuring that visual representations are respectful and accurate.</w:t>
      </w:r>
      <w:r>
        <w:rPr>
          <w:bCs/>
          <w:b/>
        </w:rPr>
        <w:t xml:space="preserve">Linguistic Inclusivity: Design solutions must accommodate the bilingual (or tri-lingual) reality of modern Tashkent.</w:t>
      </w:r>
      <w:r>
        <w:rPr>
          <w:bCs/>
          <w:b/>
          <w:bCs/>
          <w:b/>
        </w:rPr>
        <w:t xml:space="preserve">Sustainability: There is a growing demand for eco-friendly design materials and digital-first strategies to reduce carbon footprints in urban planning.</w:t>
      </w:r>
    </w:p>
    <w:p>
      <w:pPr>
        <w:pStyle w:val="BodyText"/>
      </w:pPr>
      <w:r>
        <w:t xml:space="preserve">These factors underscore the complexity of the profession. The</w:t>
      </w:r>
      <w:r>
        <w:t xml:space="preserve"> </w:t>
      </w:r>
      <w:r>
        <w:rPr>
          <w:bCs/>
          <w:b/>
        </w:rPr>
        <w:t xml:space="preserve">Graphic Designer</w:t>
      </w:r>
    </w:p>
    <w:bookmarkEnd w:id="24"/>
    <w:bookmarkStart w:id="25" w:name="conclusion-future-directions"/>
    <w:p>
      <w:pPr>
        <w:pStyle w:val="Heading3"/>
      </w:pPr>
      <w:r>
        <w:t xml:space="preserve">Conclusion &amp; Future Directions</w:t>
      </w:r>
    </w:p>
    <w:p>
      <w:pPr>
        <w:pStyle w:val="FirstParagraph"/>
      </w:pPr>
      <w:r>
        <w:t xml:space="preserve">In conclusion, the visual identity of Tashkent is undergoing a profound transformation driven by the innovative work of local and international designers. This poster presentation academic has demonstrated that design in Uzbekistan is not merely decorative; it is a strategic tool for nation-building and urban branding.</w:t>
      </w:r>
    </w:p>
    <w:p>
      <w:pPr>
        <w:pStyle w:val="BodyText"/>
      </w:pPr>
      <w:r>
        <w:t xml:space="preserve">Future research should focus on the impact of AI-generated imagery on local design practices and the potential for Tashkent to export its unique "Neo-Traditional" aesthetic to global markets. By understanding these dynamics, stakeholders in Uzbekistan can better support the creative economy, ensuring that Tashkent remains a beacon of cultural and artistic excellence in Central Asia.</w:t>
      </w:r>
    </w:p>
    <w:p>
      <w:pPr>
        <w:pStyle w:val="BodyText"/>
      </w:pPr>
      <w:r>
        <w:rPr>
          <w:iCs/>
          <w:i/>
        </w:rPr>
        <w:t xml:space="preserve">This study highlights that every billboard, app interface, and public sign is an opportunity for the</w:t>
      </w:r>
      <w:r>
        <w:rPr>
          <w:iCs/>
          <w:i/>
        </w:rPr>
        <w:t xml:space="preserve"> </w:t>
      </w:r>
      <w:r>
        <w:rPr>
          <w:bCs/>
          <w:b/>
          <w:iCs/>
          <w:i/>
        </w:rPr>
        <w:t xml:space="preserve">Graphic Designer</w:t>
      </w:r>
      <w:r>
        <w:rPr>
          <w:iCs/>
          <w:i/>
        </w:rPr>
        <w:t xml:space="preserve"> </w:t>
      </w:r>
      <w:r>
        <w:rPr>
          <w:iCs/>
          <w:i/>
        </w:rPr>
        <w:t xml:space="preserve">to shape the narrative of modern Uzbekistan.</w:t>
      </w:r>
    </w:p>
    <w:bookmarkEnd w:id="25"/>
    <w:bookmarkStart w:id="26" w:name="references"/>
    <w:p>
      <w:pPr>
        <w:pStyle w:val="Heading3"/>
      </w:pPr>
      <w:r>
        <w:t xml:space="preserve">References</w:t>
      </w:r>
    </w:p>
    <w:p>
      <w:pPr>
        <w:pStyle w:val="FirstParagraph"/>
      </w:pPr>
      <w:r>
        <w:t xml:space="preserve">Karimov, A. (2021). *Urban Semiotics in Post-Soviet Cities.* Tashkent University Press.Rahmonova, S. &amp; Lee, J. (2023). "Digital Branding in Central Asia: The Tashkent Model." *Journal of Visual Communication*, 15(2), 45-67.World Design Organization Reports on Emerging Markets (2022).</w:t>
      </w:r>
    </w:p>
    <w:p>
      <w:pPr>
        <w:pStyle w:val="BodyText"/>
      </w:pPr>
      <w:r>
        <w:rPr>
          <w:bCs/>
          <w:b/>
        </w:rPr>
        <w:t xml:space="preserve">Contact:</w:t>
      </w:r>
      <w:r>
        <w:t xml:space="preserve"> </w:t>
      </w:r>
      <w:r>
        <w:t xml:space="preserve">research@tashkentdesignhub.uz |</w:t>
      </w:r>
      <w:r>
        <w:t xml:space="preserve"> </w:t>
      </w:r>
      <w:r>
        <w:rPr>
          <w:bCs/>
          <w:b/>
        </w:rPr>
        <w:t xml:space="preserve">Website:</w:t>
      </w:r>
      <w:r>
        <w:t xml:space="preserve"> </w:t>
      </w:r>
      <w:r>
        <w:t xml:space="preserve">www.centralasiandesignresearch.org</w:t>
      </w:r>
      <w:r>
        <w:rPr>
          <w:iCs/>
          <w:i/>
        </w:rPr>
        <w:t xml:space="preserve">This document is formatted for academic poster presentation standards.</w:t>
      </w:r>
      <w:r>
        <w:t xml:space="preserve">.</w:t>
      </w:r>
    </w:p>
    <w:p>
      <w:pPr>
        <w:pStyle w:val="BodyText"/>
      </w:pPr>
      <w:r>
        <w:t xml:space="preserve">.</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Visual Identity: A Graphic Designer’s Perspective on Modern Tashkent</dc:title>
  <dc:creator/>
  <dc:language>en</dc:language>
  <cp:keywords/>
  <dcterms:created xsi:type="dcterms:W3CDTF">2026-07-29T15:09:46Z</dcterms:created>
  <dcterms:modified xsi:type="dcterms:W3CDTF">2026-07-29T15:09:46Z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