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0" w:name="human-resources-manager"/>
    <w:p>
      <w:pPr>
        <w:pStyle w:val="Heading1"/>
      </w:pPr>
      <w:r>
        <w:t xml:space="preserve">Human Resources Manager</w:t>
      </w:r>
    </w:p>
    <w:p>
      <w:pPr>
        <w:pStyle w:val="FirstParagraph"/>
      </w:pPr>
      <w:r>
        <w:t xml:space="preserve">Navigating Labor Compliance, Cultural Integration, and Strategic Talent Acquisition in the Berlin Ecosystem of Germany</w:t>
      </w:r>
    </w:p>
    <w:bookmarkEnd w:id="20"/>
    <w:bookmarkStart w:id="21" w:name="introduction"/>
    <w:p>
      <w:pPr>
        <w:pStyle w:val="Heading3"/>
      </w:pPr>
      <w:r>
        <w:t xml:space="preserve">Introduction</w:t>
      </w:r>
    </w:p>
    <w:p>
      <w:pPr>
        <w:pStyle w:val="FirstParagraph"/>
      </w:pPr>
      <w:r>
        <w:t xml:space="preserve">This poster presentation explores the multifaceted role of a Human Resources Manager specifically situated within the dynamic and rigorous professional landscape of Berlin, Germany. As the capital and a global hub for startups, tech giants, and cultural institutions, Berlin presents unique challenges that differ significantly from traditional German corporate centers like Munich or Frankfurt. The modern HR Manager in this region must navigate a complex web of strict labor laws while simultaneously fostering an innovative workplace culture.</w:t>
      </w:r>
    </w:p>
    <w:p>
      <w:pPr>
        <w:pStyle w:val="BodyText"/>
      </w:pPr>
      <w:r>
        <w:t xml:space="preserve">The primary objective of this academic analysis is to delineate the critical competencies required for effective Human Resources management in Berlin. These competencies range from legal adherence to the German Works Constitution Act (Betriebsverfassungsgesetz) to the soft skills necessary for managing a highly international, English-speaking workforce amidst a strong local labor protection framework.</w:t>
      </w:r>
    </w:p>
    <w:bookmarkEnd w:id="21"/>
    <w:bookmarkStart w:id="22" w:name="the-berlin-context"/>
    <w:p>
      <w:pPr>
        <w:pStyle w:val="Heading3"/>
      </w:pPr>
      <w:r>
        <w:t xml:space="preserve">The Berlin Context</w:t>
      </w:r>
    </w:p>
    <w:p>
      <w:pPr>
        <w:pStyle w:val="FirstParagraph"/>
      </w:pPr>
      <w:r>
        <w:t xml:space="preserve">Berlin has transformed into a vibrant melting pot of international talent. Unlike other German cities where traditional hierarchy may prevail, the business culture in Berlin is notably flat and informal. This shift places additional pressure on the Human Resources Manager to balance two seemingly contradictory demands: maintaining the high standards of discipline and procedural correctness mandated by German law, while encouraging an agile, creative environment that attracts top-tier global talent. The HR professional acts as both a legal guardian of company policy and a cultural bridge for expatriate employees.</w:t>
      </w:r>
    </w:p>
    <w:bookmarkEnd w:id="22"/>
    <w:bookmarkStart w:id="23" w:name="legal-compliance-in-germany"/>
    <w:p>
      <w:pPr>
        <w:pStyle w:val="Heading3"/>
      </w:pPr>
      <w:r>
        <w:t xml:space="preserve">Legal Compliance in Germany</w:t>
      </w:r>
    </w:p>
    <w:p>
      <w:pPr>
        <w:pStyle w:val="FirstParagraph"/>
      </w:pPr>
      <w:r>
        <w:t xml:space="preserve">The cornerstone of the Human Resources Manager’s role in Berlin is unwavering compliance with German labor legislation. Germany offers some of the strongest worker protections in Europe, and ignorance of these laws is not a defense for employers. Key legislative frameworks include:</w:t>
      </w:r>
    </w:p>
    <w:p>
      <w:pPr>
        <w:numPr>
          <w:ilvl w:val="0"/>
          <w:numId w:val="1001"/>
        </w:numPr>
        <w:pStyle w:val="Compact"/>
      </w:pPr>
      <w:r>
        <w:rPr>
          <w:bCs/>
          <w:b/>
        </w:rPr>
        <w:t xml:space="preserve">The General Equal Treatment Act (AGG):</w:t>
      </w:r>
      <w:r>
        <w:t xml:space="preserve"> </w:t>
      </w:r>
      <w:r>
        <w:t xml:space="preserve">Mandates strict non-discrimination policies in hiring and workplace conduct. HR Managers must implement rigorous screening processes to prevent bias.</w:t>
      </w:r>
    </w:p>
    <w:p>
      <w:pPr>
        <w:numPr>
          <w:ilvl w:val="0"/>
          <w:numId w:val="1001"/>
        </w:numPr>
        <w:pStyle w:val="Compact"/>
      </w:pPr>
      <w:r>
        <w:rPr>
          <w:bCs/>
          <w:b/>
        </w:rPr>
        <w:t xml:space="preserve">Works Councils (Betrietsrat):</w:t>
      </w:r>
      <w:r>
        <w:t xml:space="preserve"> </w:t>
      </w:r>
      <w:r>
        <w:t xml:space="preserve">In companies with five or more eligible employees, a works council can be formed. The HR Manager is legally required to consult with this body on significant personnel changes, such as layoffs or structural adjustments.</w:t>
      </w:r>
    </w:p>
    <w:p>
      <w:pPr>
        <w:numPr>
          <w:ilvl w:val="0"/>
          <w:numId w:val="1001"/>
        </w:numPr>
        <w:pStyle w:val="Compact"/>
      </w:pPr>
      <w:r>
        <w:rPr>
          <w:bCs/>
          <w:b/>
        </w:rPr>
        <w:t xml:space="preserve">Data Protection (GDPR &amp; BDSG):</w:t>
      </w:r>
      <w:r>
        <w:t xml:space="preserve"> </w:t>
      </w:r>
      <w:r>
        <w:t xml:space="preserve">Handling employee data in Berlin requires exceptional diligence under both the European General Data Protection Regulation and the specific German Federal Data Protection Act. HR systems must be secure, transparent, and strictly purpose-bound.</w:t>
      </w:r>
    </w:p>
    <w:p>
      <w:pPr>
        <w:pStyle w:val="FirstParagraph"/>
      </w:pPr>
      <w:r>
        <w:t xml:space="preserve">Failure to adhere to these regulations can result in severe financial penalties and reputational damage. Therefore, the Human Resources Manager serves as the primary interface between legal constraints and operational flexibility.</w:t>
      </w:r>
    </w:p>
    <w:bookmarkEnd w:id="23"/>
    <w:bookmarkStart w:id="24" w:name="strategic-talent-acquisition"/>
    <w:p>
      <w:pPr>
        <w:pStyle w:val="Heading3"/>
      </w:pPr>
      <w:r>
        <w:t xml:space="preserve">Strategic Talent Acquisition</w:t>
      </w:r>
    </w:p>
    <w:p>
      <w:pPr>
        <w:pStyle w:val="FirstParagraph"/>
      </w:pPr>
      <w:r>
        <w:t xml:space="preserve">Berlin faces a significant skilled labor shortage, particularly in the IT and engineering sectors. Consequently, the HR Manager must adopt proactive recruitment strategies. This involves leveraging global job boards, university partnerships with institutions like TU Berlin and HU Berlin, and utilizing networking platforms prevalent in the startup scene. The presentation emphasizes that successful acquisition is not just about filling vacancies but aligning candidate profiles with long-term corporate strategy.</w:t>
      </w:r>
    </w:p>
    <w:bookmarkEnd w:id="24"/>
    <w:bookmarkStart w:id="25" w:name="cultural-integration-and-soft-skills"/>
    <w:p>
      <w:pPr>
        <w:pStyle w:val="Heading3"/>
      </w:pPr>
      <w:r>
        <w:t xml:space="preserve">Cultural Integration and Soft Skills</w:t>
      </w:r>
    </w:p>
    <w:p>
      <w:pPr>
        <w:pStyle w:val="FirstParagraph"/>
      </w:pPr>
      <w:r>
        <w:t xml:space="preserve">Beyond legalities, the cultural dimension of being a Human Resources Manager in Berlin is pivotal. The workforce is incredibly diverse, with a substantial portion of employees speaking English as their primary workplace language. This requires the HR professional to possess high cross-cultural communication skills.</w:t>
      </w:r>
    </w:p>
    <w:p>
      <w:pPr>
        <w:pStyle w:val="BodyText"/>
      </w:pPr>
      <w:r>
        <w:t xml:space="preserve">The presentation highlights that an effective HR Manager in Germany must:</w:t>
      </w:r>
    </w:p>
    <w:p>
      <w:pPr>
        <w:numPr>
          <w:ilvl w:val="0"/>
          <w:numId w:val="1002"/>
        </w:numPr>
        <w:pStyle w:val="Compact"/>
      </w:pPr>
      <w:r>
        <w:t xml:space="preserve">Facilitate integration programs for international hires, helping them navigate German bureaucracy (visas, tax IDs).</w:t>
      </w:r>
    </w:p>
    <w:p>
      <w:pPr>
        <w:numPr>
          <w:ilvl w:val="0"/>
          <w:numId w:val="1002"/>
        </w:numPr>
        <w:pStyle w:val="Compact"/>
      </w:pPr>
      <w:r>
        <w:t xml:space="preserve">Mediate between local German employee expectations for job security and the high-mobility mindset of international expats.</w:t>
      </w:r>
    </w:p>
    <w:p>
      <w:pPr>
        <w:numPr>
          <w:ilvl w:val="0"/>
          <w:numId w:val="1002"/>
        </w:numPr>
        <w:pStyle w:val="Compact"/>
      </w:pPr>
      <w:r>
        <w:t xml:space="preserve">Promote diversity and inclusion initiatives that are not just tokenistic but embedded in corporate values.</w:t>
      </w:r>
    </w:p>
    <w:p>
      <w:pPr>
        <w:pStyle w:val="FirstParagraph"/>
      </w:pPr>
      <w:r>
        <w:t xml:space="preserve">This dual competency—legal expertise plus cultural intelligence—is what distinguishes a successful HR leader in the German market from an average administrator.</w:t>
      </w:r>
    </w:p>
    <w:bookmarkEnd w:id="25"/>
    <w:bookmarkStart w:id="26" w:name="conclusion-and-future-outlook"/>
    <w:p>
      <w:pPr>
        <w:pStyle w:val="Heading3"/>
      </w:pPr>
      <w:r>
        <w:t xml:space="preserve">Conclusion and Future Outlook</w:t>
      </w:r>
    </w:p>
    <w:p>
      <w:pPr>
        <w:pStyle w:val="FirstParagraph"/>
      </w:pPr>
      <w:r>
        <w:t xml:space="preserve">In conclusion, the role of the Human Resources Manager in Berlin is evolving from a purely administrative function to a strategic business partner. The presentation asserts that organizations must invest heavily in training their HR personnel not only on German labor law but also on international management practices. As Berlin continues to grow as a global innovation hub, the ability of HR Managers to harmonize rigid statutory requirements with flexible, people-centric management styles will determine the competitive advantage of firms operating in this region.</w:t>
      </w:r>
    </w:p>
    <w:p>
      <w:pPr>
        <w:pStyle w:val="BodyText"/>
      </w:pPr>
      <w:r>
        <w:t xml:space="preserve">Future research directions suggested by this poster include longitudinal studies on retention rates of international talent in Berlin compared to other European capitals, and the impact of remote work policies on German labor compliance frameworks.</w:t>
      </w:r>
    </w:p>
    <w:bookmarkEnd w:id="26"/>
    <w:p>
      <w:pPr>
        <w:pStyle w:val="BodyText"/>
      </w:pPr>
      <w:r>
        <w:rPr>
          <w:iCs/>
          <w:i/>
        </w:rPr>
        <w:t xml:space="preserve">This academic poster presentation was developed to illustrate the complexities of Human Resource Management within the specific geopolitical and cultural context of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Germany Berlin</dc:title>
  <dc:creator/>
  <dc:language>en</dc:language>
  <cp:keywords/>
  <dcterms:created xsi:type="dcterms:W3CDTF">2026-07-29T09:46:42Z</dcterms:created>
  <dcterms:modified xsi:type="dcterms:W3CDTF">2026-07-29T09:46:42Z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