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Architecture</w:t>
      </w:r>
      <w:r>
        <w:t xml:space="preserve"> </w:t>
      </w:r>
      <w:r>
        <w:t xml:space="preserve">of</w:t>
      </w:r>
      <w:r>
        <w:t xml:space="preserve"> </w:t>
      </w:r>
      <w:r>
        <w:t xml:space="preserve">Justice:</w:t>
      </w:r>
      <w:r>
        <w:t xml:space="preserve"> </w:t>
      </w:r>
      <w:r>
        <w:t xml:space="preserve">A</w:t>
      </w:r>
      <w:r>
        <w:t xml:space="preserve"> </w:t>
      </w:r>
      <w:r>
        <w:t xml:space="preserve">Poster</w:t>
      </w:r>
      <w:r>
        <w:t xml:space="preserve"> </w:t>
      </w:r>
      <w:r>
        <w:t xml:space="preserve">Presentation</w:t>
      </w:r>
      <w:r>
        <w:t xml:space="preserve"> </w:t>
      </w:r>
      <w:r>
        <w:t xml:space="preserve">on</w:t>
      </w:r>
      <w:r>
        <w:t xml:space="preserve"> </w:t>
      </w:r>
      <w:r>
        <w:t xml:space="preserve">the</w:t>
      </w:r>
      <w:r>
        <w:t xml:space="preserve"> </w:t>
      </w:r>
      <w:r>
        <w:t xml:space="preserve">Judiciary</w:t>
      </w:r>
      <w:r>
        <w:t xml:space="preserve"> </w:t>
      </w:r>
      <w:r>
        <w:t xml:space="preserve">in</w:t>
      </w:r>
      <w:r>
        <w:t xml:space="preserve"> </w:t>
      </w:r>
      <w:r>
        <w:t xml:space="preserve">France</w:t>
      </w:r>
    </w:p>
    <w:bookmarkStart w:id="20" w:name="X04529c3eb88ddaa9bc2dda41dfff4fe4c6588d5"/>
    <w:p>
      <w:pPr>
        <w:pStyle w:val="Heading1"/>
      </w:pPr>
      <w:r>
        <w:t xml:space="preserve">The Architecture of Justice: A Poster Presentation on the Judiciary in France</w:t>
      </w:r>
    </w:p>
    <w:p>
      <w:pPr>
        <w:pStyle w:val="FirstParagraph"/>
      </w:pPr>
      <w:r>
        <w:t xml:space="preserve">Examining the Dual-Track System and Judicial Independence in Paris</w:t>
      </w:r>
    </w:p>
    <w:bookmarkEnd w:id="20"/>
    <w:bookmarkStart w:id="22" w:name="introduction-context"/>
    <w:p>
      <w:pPr>
        <w:pStyle w:val="Heading2"/>
      </w:pPr>
      <w:r>
        <w:t xml:space="preserve">Introduction &amp; Context</w:t>
      </w:r>
    </w:p>
    <w:bookmarkStart w:id="21" w:name="the-unique-french-legal-landscape"/>
    <w:p>
      <w:pPr>
        <w:pStyle w:val="Heading3"/>
      </w:pPr>
      <w:r>
        <w:t xml:space="preserve">The Unique French Legal Landscape</w:t>
      </w:r>
    </w:p>
    <w:p>
      <w:pPr>
        <w:pStyle w:val="FirstParagraph"/>
      </w:pPr>
      <w:r>
        <w:t xml:space="preserve">In the heart of Europe, the judicial system of France stands as a testament to centuries of legal evolution. Unlike many common law jurisdictions, France operates under a civil law tradition rooted in the Napoleonic Code. This</w:t>
      </w:r>
      <w:r>
        <w:t xml:space="preserve"> </w:t>
      </w:r>
      <w:r>
        <w:t xml:space="preserve">Poster Presentation</w:t>
      </w:r>
      <w:r>
        <w:t xml:space="preserve"> </w:t>
      </w:r>
      <w:r>
        <w:t xml:space="preserve">aims to dissect the intricate mechanisms of the French judiciary, with specific attention paid to its operational dynamics within</w:t>
      </w:r>
      <w:r>
        <w:t xml:space="preserve"> </w:t>
      </w:r>
      <w:r>
        <w:rPr>
          <w:bCs/>
          <w:b/>
        </w:rPr>
        <w:t xml:space="preserve">France Paris</w:t>
      </w:r>
      <w:r>
        <w:t xml:space="preserve">, the capital and primary hub of legal administration. Understanding this system is crucial for international observers, legal scholars, and those interested in comparative law.</w:t>
      </w:r>
    </w:p>
    <w:p>
      <w:pPr>
        <w:pStyle w:val="BodyText"/>
      </w:pPr>
      <w:r>
        <w:t xml:space="preserve">The structure is distinctively dualistic, separating administrative law from ordinary jurisdictional law. This bifurcation requires a specialized approach to justice that differs significantly from Anglo-American models. The role of the</w:t>
      </w:r>
      <w:r>
        <w:t xml:space="preserve"> </w:t>
      </w:r>
      <w:r>
        <w:t xml:space="preserve">Judge</w:t>
      </w:r>
      <w:r>
        <w:t xml:space="preserve"> </w:t>
      </w:r>
      <w:r>
        <w:t xml:space="preserve">in this context is not merely as an arbiter of disputes but as an active investigator in certain criminal proceedings, embodying the *juge d'instruction* model.</w:t>
      </w:r>
    </w:p>
    <w:bookmarkEnd w:id="21"/>
    <w:bookmarkEnd w:id="22"/>
    <w:bookmarkStart w:id="24" w:name="historical-foundations"/>
    <w:p>
      <w:pPr>
        <w:pStyle w:val="Heading2"/>
      </w:pPr>
      <w:r>
        <w:t xml:space="preserve">Historical Foundations</w:t>
      </w:r>
    </w:p>
    <w:bookmarkStart w:id="23" w:name="the-revolution-and-the-code"/>
    <w:p>
      <w:pPr>
        <w:pStyle w:val="Heading3"/>
      </w:pPr>
      <w:r>
        <w:t xml:space="preserve">The Revolution and the Code</w:t>
      </w:r>
    </w:p>
    <w:p>
      <w:pPr>
        <w:pStyle w:val="FirstParagraph"/>
      </w:pPr>
      <w:r>
        <w:br/>
      </w:r>
    </w:p>
    <w:p>
      <w:pPr>
        <w:pStyle w:val="BodyText"/>
      </w:pPr>
      <w:r>
        <w:t xml:space="preserve">The modern French judiciary is deeply influenced by the French Revolution of 1789, which sought to dismantle the arbitrary power of royal judges. The resulting system emphasized written law over judicial precedent. Key milestones include:</w:t>
      </w:r>
    </w:p>
    <w:p>
      <w:pPr>
        <w:numPr>
          <w:ilvl w:val="0"/>
          <w:numId w:val="1001"/>
        </w:numPr>
        <w:pStyle w:val="Compact"/>
      </w:pPr>
      <w:r>
        <w:rPr>
          <w:bCs/>
          <w:b/>
        </w:rPr>
        <w:t xml:space="preserve">The Civil Code of 1804:</w:t>
      </w:r>
      <w:r>
        <w:t xml:space="preserve"> </w:t>
      </w:r>
      <w:r>
        <w:t xml:space="preserve">Established clear, accessible laws that defined civil rights and obligations.</w:t>
      </w:r>
    </w:p>
    <w:p>
      <w:pPr>
        <w:numPr>
          <w:ilvl w:val="0"/>
          <w:numId w:val="1001"/>
        </w:numPr>
        <w:pStyle w:val="Compact"/>
      </w:pPr>
      <w:r>
        <w:rPr>
          <w:bCs/>
          <w:b/>
        </w:rPr>
        <w:t xml:space="preserve">The Creation of the Cour de Cassation (1790):</w:t>
      </w:r>
      <w:r>
        <w:t xml:space="preserve"> </w:t>
      </w:r>
      <w:r>
        <w:t xml:space="preserve">The highest court in the order of ordinary jurisdiction, tasked with ensuring consistency in legal interpretation rather than retrying cases.</w:t>
      </w:r>
    </w:p>
    <w:p>
      <w:pPr>
        <w:numPr>
          <w:ilvl w:val="0"/>
          <w:numId w:val="1001"/>
        </w:numPr>
        <w:pStyle w:val="Compact"/>
      </w:pPr>
      <w:r>
        <w:rPr>
          <w:bCs/>
          <w:b/>
        </w:rPr>
        <w:t xml:space="preserve">The Establishment of the Conseil d'État (1799):</w:t>
      </w:r>
      <w:r>
        <w:t xml:space="preserve"> </w:t>
      </w:r>
      <w:r>
        <w:t xml:space="preserve">The supreme body for administrative justice, reflecting the separation between state administration and private citizens.</w:t>
      </w:r>
    </w:p>
    <w:bookmarkEnd w:id="23"/>
    <w:bookmarkEnd w:id="24"/>
    <w:bookmarkStart w:id="26" w:name="institutional-structure"/>
    <w:p>
      <w:pPr>
        <w:pStyle w:val="Heading2"/>
      </w:pPr>
      <w:r>
        <w:t xml:space="preserve">Institutional Structure</w:t>
      </w:r>
    </w:p>
    <w:bookmarkStart w:id="25" w:name="parallel-jurisdictions"/>
    <w:p>
      <w:pPr>
        <w:pStyle w:val="Heading3"/>
      </w:pPr>
      <w:r>
        <w:t xml:space="preserve">Parallel Jurisdictions</w:t>
      </w:r>
    </w:p>
    <w:p>
      <w:pPr>
        <w:pStyle w:val="FirstParagraph"/>
      </w:pPr>
      <w:r>
        <w:br/>
      </w:r>
    </w:p>
    <w:p>
      <w:pPr>
        <w:pStyle w:val="BodyText"/>
      </w:pPr>
      <w:r>
        <w:t xml:space="preserve">The French system is characterized by its parallel tracks. In</w:t>
      </w:r>
      <w:r>
        <w:t xml:space="preserve"> </w:t>
      </w:r>
      <w:r>
        <w:rPr>
          <w:bCs/>
          <w:b/>
        </w:rPr>
        <w:t xml:space="preserve">France Paris</w:t>
      </w:r>
      <w:r>
        <w:t xml:space="preserve">, the density of these institutions is particularly high. The two main orders are:</w:t>
      </w:r>
    </w:p>
    <w:p>
      <w:pPr>
        <w:numPr>
          <w:ilvl w:val="0"/>
          <w:numId w:val="1002"/>
        </w:numPr>
        <w:pStyle w:val="Compact"/>
      </w:pPr>
      <w:r>
        <w:rPr>
          <w:bCs/>
          <w:b/>
        </w:rPr>
        <w:t xml:space="preserve">The Judicial Order (Ordre Judiciaire):</w:t>
      </w:r>
      <w:r>
        <w:t xml:space="preserve"> </w:t>
      </w:r>
      <w:r>
        <w:t xml:space="preserve">Handles civil disputes between private parties and criminal offenses. It includes courts of first instance, appeal courts, and the Cour de Cassation.</w:t>
      </w:r>
    </w:p>
    <w:p>
      <w:pPr>
        <w:numPr>
          <w:ilvl w:val="0"/>
          <w:numId w:val="1002"/>
        </w:numPr>
        <w:pStyle w:val="Compact"/>
      </w:pPr>
      <w:r>
        <w:rPr>
          <w:bCs/>
          <w:b/>
        </w:rPr>
        <w:t xml:space="preserve">The Administrative Order (Ordre Administratif):</w:t>
      </w:r>
      <w:r>
        <w:t xml:space="preserve"> </w:t>
      </w:r>
      <w:r>
        <w:t xml:space="preserve">Resolves disputes involving the state, local authorities, and public services. The administrative court system culminates in the Conseil d'État.</w:t>
      </w:r>
    </w:p>
    <w:bookmarkEnd w:id="25"/>
    <w:bookmarkEnd w:id="26"/>
    <w:bookmarkStart w:id="28" w:name="the-role-of-the-judge"/>
    <w:p>
      <w:pPr>
        <w:pStyle w:val="Heading2"/>
      </w:pPr>
      <w:r>
        <w:t xml:space="preserve">The Role of the Judge</w:t>
      </w:r>
    </w:p>
    <w:bookmarkStart w:id="27" w:name="active-investigator-and-guardian"/>
    <w:p>
      <w:pPr>
        <w:pStyle w:val="Heading3"/>
      </w:pPr>
      <w:r>
        <w:t xml:space="preserve">Active Investigator and Guardian</w:t>
      </w:r>
    </w:p>
    <w:p>
      <w:pPr>
        <w:pStyle w:val="FirstParagraph"/>
      </w:pPr>
      <w:r>
        <w:br/>
      </w:r>
    </w:p>
    <w:p>
      <w:pPr>
        <w:pStyle w:val="BodyText"/>
      </w:pPr>
      <w:r>
        <w:t xml:space="preserve">In this academic examination, we focus heavily on the persona of the</w:t>
      </w:r>
      <w:r>
        <w:t xml:space="preserve"> </w:t>
      </w:r>
      <w:r>
        <w:t xml:space="preserve">Judge</w:t>
      </w:r>
      <w:r>
        <w:t xml:space="preserve">. In France, judges are career civil servants who rise through a rigorous meritocratic system known as the École Nationale de la Magistrature (ENM). Unlike judges in some common law systems who may be elected or appointed from among experienced lawyers, French magistrates begin their careers early and specialize over time. The</w:t>
      </w:r>
      <w:r>
        <w:t xml:space="preserve"> </w:t>
      </w:r>
      <w:r>
        <w:t xml:space="preserve">Judge</w:t>
      </w:r>
      <w:r>
        <w:t xml:space="preserve"> </w:t>
      </w:r>
      <w:r>
        <w:t xml:space="preserve">in criminal cases may act as an investigating magistrate (*juge d'instruction*), actively gathering evidence, interviewing witnesses, and building the case file before trial. This role demands a high degree of neutrality and intellectual rigor.</w:t>
      </w:r>
    </w:p>
    <w:bookmarkEnd w:id="27"/>
    <w:bookmarkEnd w:id="28"/>
    <w:bookmarkStart w:id="30" w:name="paris-as-a-legal-hub"/>
    <w:p>
      <w:pPr>
        <w:pStyle w:val="Heading2"/>
      </w:pPr>
      <w:r>
        <w:t xml:space="preserve">Paris as a Legal Hub</w:t>
      </w:r>
    </w:p>
    <w:bookmarkStart w:id="29" w:name="centralization-and-complexity"/>
    <w:p>
      <w:pPr>
        <w:pStyle w:val="Heading3"/>
      </w:pPr>
      <w:r>
        <w:t xml:space="preserve">Centralization and Complexity</w:t>
      </w:r>
    </w:p>
    <w:p>
      <w:pPr>
        <w:pStyle w:val="FirstParagraph"/>
      </w:pPr>
      <w:r>
        <w:br/>
      </w:r>
    </w:p>
    <w:p>
      <w:pPr>
        <w:pStyle w:val="BodyText"/>
      </w:pPr>
      <w:r>
        <w:t xml:space="preserve">As the capital,</w:t>
      </w:r>
    </w:p>
    <w:p>
      <w:pPr>
        <w:pStyle w:val="BodyText"/>
      </w:pPr>
      <w:r>
        <w:t xml:space="preserve">France ParisFrance Paris</w:t>
      </w:r>
    </w:p>
    <w:bookmarkEnd w:id="29"/>
    <w:bookmarkEnd w:id="30"/>
    <w:bookmarkStart w:id="32" w:name="methodology-analysis"/>
    <w:p>
      <w:pPr>
        <w:pStyle w:val="Heading2"/>
      </w:pPr>
      <w:r>
        <w:t xml:space="preserve">Methodology &amp; Analysis</w:t>
      </w:r>
    </w:p>
    <w:bookmarkStart w:id="31" w:name="comparative-legal-study"/>
    <w:p>
      <w:pPr>
        <w:pStyle w:val="Heading3"/>
      </w:pPr>
      <w:r>
        <w:t xml:space="preserve">Comparative Legal Study</w:t>
      </w:r>
    </w:p>
    <w:p>
      <w:pPr>
        <w:pStyle w:val="FirstParagraph"/>
      </w:pPr>
      <w:r>
        <w:br/>
      </w:r>
    </w:p>
    <w:p>
      <w:pPr>
        <w:pStyle w:val="BodyText"/>
      </w:pPr>
      <w:r>
        <w:t xml:space="preserve">To understand the efficacy of this system, our</w:t>
      </w:r>
      <w:r>
        <w:t xml:space="preserve"> </w:t>
      </w:r>
      <w:r>
        <w:t xml:space="preserve">Poster Presentation</w:t>
      </w:r>
      <w:r>
        <w:t xml:space="preserve"> </w:t>
      </w:r>
      <w:r>
        <w:t xml:space="preserve">utilizes a comparative legal analysis. We examine statistical data on case resolution times in</w:t>
      </w:r>
      <w:r>
        <w:t xml:space="preserve"> </w:t>
      </w:r>
      <w:r>
        <w:rPr>
          <w:bCs/>
          <w:b/>
        </w:rPr>
        <w:t xml:space="preserve">France Paris</w:t>
      </w:r>
    </w:p>
    <w:bookmarkEnd w:id="31"/>
    <w:bookmarkEnd w:id="32"/>
    <w:bookmarkStart w:id="34" w:name="key-findings"/>
    <w:p>
      <w:pPr>
        <w:pStyle w:val="Heading2"/>
      </w:pPr>
      <w:r>
        <w:t xml:space="preserve">Key Findings</w:t>
      </w:r>
    </w:p>
    <w:bookmarkStart w:id="33" w:name="efficiency-vs.-tradition"/>
    <w:p>
      <w:pPr>
        <w:pStyle w:val="Heading3"/>
      </w:pPr>
      <w:r>
        <w:t xml:space="preserve">Efficiency vs. Tradition</w:t>
      </w:r>
    </w:p>
    <w:p>
      <w:pPr>
        <w:pStyle w:val="FirstParagraph"/>
      </w:pPr>
      <w:r>
        <w:br/>
      </w:r>
    </w:p>
    <w:p>
      <w:pPr>
        <w:numPr>
          <w:ilvl w:val="0"/>
          <w:numId w:val="1003"/>
        </w:numPr>
        <w:pStyle w:val="Compact"/>
      </w:pPr>
      <w:r>
        <w:rPr>
          <w:bCs/>
          <w:b/>
        </w:rPr>
        <w:t xml:space="preserve">Judicial Independence:</w:t>
      </w:r>
      <w:r>
        <w:t xml:space="preserve"> </w:t>
      </w:r>
      <w:r>
        <w:t xml:space="preserve">The career-based system protects the</w:t>
      </w:r>
      <w:r>
        <w:t xml:space="preserve"> </w:t>
      </w:r>
      <w:r>
        <w:t xml:space="preserve">Judge</w:t>
      </w:r>
      <w:r>
        <w:t xml:space="preserve"> </w:t>
      </w:r>
      <w:r>
        <w:t xml:space="preserve">from political pressure, ensuring a high degree of impartiality.</w:t>
      </w:r>
    </w:p>
    <w:p>
      <w:pPr>
        <w:numPr>
          <w:ilvl w:val="0"/>
          <w:numId w:val="1003"/>
        </w:numPr>
        <w:pStyle w:val="Compact"/>
      </w:pPr>
      <w:r>
        <w:rPr>
          <w:bCs/>
          <w:b/>
        </w:rPr>
        <w:t xml:space="preserve">Dualism Challenges:</w:t>
      </w:r>
      <w:r>
        <w:t xml:space="preserve"> </w:t>
      </w:r>
      <w:r>
        <w:t xml:space="preserve">Disputes over jurisdiction between administrative and judicial courts are frequent in</w:t>
      </w:r>
      <w:r>
        <w:t xml:space="preserve"> </w:t>
      </w:r>
      <w:r>
        <w:rPr>
          <w:bCs/>
          <w:b/>
        </w:rPr>
        <w:t xml:space="preserve">France Paris</w:t>
      </w:r>
    </w:p>
    <w:p>
      <w:pPr>
        <w:numPr>
          <w:ilvl w:val="0"/>
          <w:numId w:val="1003"/>
        </w:numPr>
        <w:pStyle w:val="Compact"/>
      </w:pPr>
      <w:r>
        <w:rPr>
          <w:u w:val="single"/>
        </w:rPr>
        <w:t xml:space="preserve">Patient Rights:</w:t>
      </w:r>
      <w:r>
        <w:t xml:space="preserve">In medical malpractice cases, the role of the</w:t>
      </w:r>
    </w:p>
    <w:p>
      <w:pPr>
        <w:numPr>
          <w:ilvl w:val="0"/>
          <w:numId w:val="1000"/>
        </w:numPr>
        <w:pStyle w:val="Compact"/>
      </w:pPr>
      <w:r>
        <w:t xml:space="preserve">Judge</w:t>
      </w:r>
    </w:p>
    <w:bookmarkEnd w:id="33"/>
    <w:bookmarkEnd w:id="34"/>
    <w:bookmarkStart w:id="35" w:name="conclusion-future-directions"/>
    <w:p>
      <w:pPr>
        <w:pStyle w:val="Heading2"/>
      </w:pPr>
      <w:r>
        <w:t xml:space="preserve">Conclusion &amp; Future Directions</w:t>
      </w:r>
    </w:p>
    <w:p>
      <w:pPr>
        <w:pStyle w:val="FirstParagraph"/>
      </w:pPr>
      <w:r>
        <w:br/>
      </w:r>
    </w:p>
    <w:p>
      <w:pPr>
        <w:pStyle w:val="BodyText"/>
      </w:pPr>
      <w:r>
        <w:t xml:space="preserve">The judiciary in France represents a unique balance between revolutionary ideals of written law and the practical necessities of modern governance. For international stakeholders, understanding the specific role of the</w:t>
      </w:r>
    </w:p>
    <w:p>
      <w:pPr>
        <w:pStyle w:val="BodyText"/>
      </w:pPr>
      <w:r>
        <w:t xml:space="preserve">JudgeFrance Paris</w:t>
      </w:r>
    </w:p>
    <w:bookmarkEnd w:id="35"/>
    <w:bookmarkStart w:id="36" w:name="contact-references"/>
    <w:p>
      <w:pPr>
        <w:pStyle w:val="Heading3"/>
      </w:pPr>
      <w:r>
        <w:t xml:space="preserve">Contact &amp; References</w:t>
      </w:r>
    </w:p>
    <w:p>
      <w:pPr>
        <w:pStyle w:val="FirstParagraph"/>
      </w:pPr>
      <w:r>
        <w:br/>
      </w:r>
    </w:p>
    <w:p>
      <w:pPr>
        <w:pStyle w:val="BodyText"/>
      </w:pPr>
      <w:r>
        <w:t xml:space="preserve">For further academic inquiries regarding this</w:t>
      </w:r>
      <w:r>
        <w:t xml:space="preserve"> </w:t>
      </w:r>
      <w:r>
        <w:t xml:space="preserve">Poster Presentation</w:t>
      </w:r>
      <w:r>
        <w:t xml:space="preserve">, please contact the research team. All data sources are drawn from official publications of the French Ministry of Justice and peer-reviewed legal journals focusing on comparative law in Europe.</w:t>
      </w:r>
    </w:p>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Architecture of Justice: A Poster Presentation on the Judiciary in France</dc:title>
  <dc:creator/>
  <dc:language>en</dc:language>
  <cp:keywords/>
  <dcterms:created xsi:type="dcterms:W3CDTF">2026-07-29T14:01:39Z</dcterms:created>
  <dcterms:modified xsi:type="dcterms:W3CDTF">2026-07-29T14:01:39Z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